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019DFF7" w14:textId="77777777" w:rsidR="003F26E4" w:rsidRPr="00A95F46" w:rsidRDefault="003F26E4" w:rsidP="006E0A97">
      <w:pPr>
        <w:pStyle w:val="Kop1"/>
        <w:rPr>
          <w:lang w:val="en-GB"/>
        </w:rPr>
      </w:pPr>
      <w:r w:rsidRPr="00A95F46">
        <w:rPr>
          <w:lang w:val="en-GB"/>
        </w:rPr>
        <w:t xml:space="preserve">Medication </w:t>
      </w:r>
      <w:r w:rsidR="006A0584">
        <w:rPr>
          <w:lang w:val="en-GB"/>
        </w:rPr>
        <w:t>S</w:t>
      </w:r>
      <w:bookmarkStart w:id="0" w:name="_GoBack"/>
      <w:bookmarkEnd w:id="0"/>
      <w:r w:rsidRPr="00A95F46">
        <w:rPr>
          <w:lang w:val="en-GB"/>
        </w:rPr>
        <w:t xml:space="preserve">afety in </w:t>
      </w:r>
      <w:r>
        <w:rPr>
          <w:lang w:val="en-GB"/>
        </w:rPr>
        <w:t>donor-sponsored public health programmes</w:t>
      </w:r>
    </w:p>
    <w:p w14:paraId="7BB1A719" w14:textId="77777777" w:rsidR="003F26E4" w:rsidRPr="0003236D" w:rsidRDefault="003F26E4" w:rsidP="0003236D">
      <w:pPr>
        <w:pStyle w:val="Ondertitel"/>
        <w:rPr>
          <w:sz w:val="16"/>
          <w:lang w:val="en-US"/>
        </w:rPr>
      </w:pPr>
      <w:r w:rsidRPr="00FE4B72">
        <w:t>C.P.E. van Bommel</w:t>
      </w:r>
      <w:r w:rsidRPr="0003236D">
        <w:rPr>
          <w:vertAlign w:val="superscript"/>
        </w:rPr>
        <w:t>1</w:t>
      </w:r>
      <w:r w:rsidRPr="00FE4B72">
        <w:t>,</w:t>
      </w:r>
      <w:r>
        <w:t xml:space="preserve"> BSc;</w:t>
      </w:r>
      <w:r w:rsidRPr="00FE4B72">
        <w:t xml:space="preserve"> A.R.G. van Slobbe</w:t>
      </w:r>
      <w:r w:rsidRPr="0003236D">
        <w:rPr>
          <w:vertAlign w:val="superscript"/>
        </w:rPr>
        <w:t>2</w:t>
      </w:r>
      <w:r>
        <w:t>*</w:t>
      </w:r>
      <w:r w:rsidRPr="00FE4B72">
        <w:t>,</w:t>
      </w:r>
      <w:r>
        <w:t xml:space="preserve"> </w:t>
      </w:r>
      <w:proofErr w:type="spellStart"/>
      <w:r>
        <w:t>PharmD</w:t>
      </w:r>
      <w:proofErr w:type="spellEnd"/>
      <w:r>
        <w:t>;</w:t>
      </w:r>
      <w:r w:rsidRPr="00FE4B72">
        <w:t xml:space="preserve"> </w:t>
      </w:r>
      <w:r>
        <w:t xml:space="preserve">dr. </w:t>
      </w:r>
      <w:r w:rsidRPr="0003236D">
        <w:rPr>
          <w:lang w:val="en-US"/>
        </w:rPr>
        <w:t>A.K. Mantel</w:t>
      </w:r>
      <w:r w:rsidRPr="0003236D">
        <w:rPr>
          <w:vertAlign w:val="superscript"/>
          <w:lang w:val="en-US"/>
        </w:rPr>
        <w:t>1</w:t>
      </w:r>
      <w:r w:rsidRPr="0003236D">
        <w:rPr>
          <w:vertAlign w:val="superscript"/>
          <w:lang w:val="en-US"/>
        </w:rPr>
        <w:br/>
      </w:r>
      <w:r w:rsidRPr="0003236D">
        <w:rPr>
          <w:sz w:val="16"/>
          <w:lang w:val="en-US"/>
        </w:rPr>
        <w:t xml:space="preserve">1: </w:t>
      </w:r>
      <w:proofErr w:type="spellStart"/>
      <w:r w:rsidRPr="0003236D">
        <w:rPr>
          <w:sz w:val="16"/>
          <w:lang w:val="en-US"/>
        </w:rPr>
        <w:t>Pharmacoepidemiology</w:t>
      </w:r>
      <w:proofErr w:type="spellEnd"/>
      <w:r>
        <w:rPr>
          <w:sz w:val="16"/>
          <w:lang w:val="en-US"/>
        </w:rPr>
        <w:t xml:space="preserve"> and Clinical Pharmacology</w:t>
      </w:r>
      <w:r w:rsidRPr="0003236D">
        <w:rPr>
          <w:sz w:val="16"/>
          <w:lang w:val="en-US"/>
        </w:rPr>
        <w:t>, Department of Pharmaceutical Sciences, University Utrecht</w:t>
      </w:r>
      <w:r>
        <w:rPr>
          <w:sz w:val="16"/>
          <w:lang w:val="en-US"/>
        </w:rPr>
        <w:t xml:space="preserve">; </w:t>
      </w:r>
      <w:r w:rsidRPr="00294658">
        <w:rPr>
          <w:rStyle w:val="publictextareafieldcontent"/>
          <w:sz w:val="16"/>
          <w:lang w:val="en-US"/>
        </w:rPr>
        <w:t xml:space="preserve">Managing Director </w:t>
      </w:r>
      <w:r>
        <w:rPr>
          <w:rStyle w:val="publictextareafieldcontent"/>
          <w:sz w:val="16"/>
          <w:lang w:val="en-US"/>
        </w:rPr>
        <w:t>of</w:t>
      </w:r>
      <w:r w:rsidRPr="00294658">
        <w:rPr>
          <w:rStyle w:val="publictextareafieldcontent"/>
          <w:sz w:val="16"/>
          <w:lang w:val="en-US"/>
        </w:rPr>
        <w:t xml:space="preserve"> WHO Collaborating Centre for Pharmaceutical Policy and Regulation</w:t>
      </w:r>
      <w:r>
        <w:rPr>
          <w:rStyle w:val="publictextareafieldcontent"/>
          <w:sz w:val="16"/>
          <w:lang w:val="en-US"/>
        </w:rPr>
        <w:t>, Utrecht</w:t>
      </w:r>
      <w:r>
        <w:rPr>
          <w:sz w:val="16"/>
          <w:lang w:val="en-US"/>
        </w:rPr>
        <w:br/>
      </w:r>
      <w:r w:rsidRPr="0003236D">
        <w:rPr>
          <w:sz w:val="16"/>
          <w:lang w:val="en-US"/>
        </w:rPr>
        <w:t>2: Global Initiative on Medication Safety (GIMS) Foundation</w:t>
      </w:r>
      <w:r>
        <w:rPr>
          <w:sz w:val="16"/>
          <w:lang w:val="en-US"/>
        </w:rPr>
        <w:br/>
        <w:t>Further correspondence should be directed to *.</w:t>
      </w:r>
    </w:p>
    <w:p w14:paraId="696455E7" w14:textId="77777777" w:rsidR="003F26E4" w:rsidRPr="0003236D" w:rsidRDefault="00895902">
      <w:pPr>
        <w:rPr>
          <w:b/>
          <w:lang w:val="en-US"/>
        </w:rPr>
      </w:pPr>
      <w:r>
        <w:rPr>
          <w:noProof/>
          <w:lang w:eastAsia="nl-NL"/>
        </w:rPr>
        <w:pict w14:anchorId="316FC770">
          <v:line id="Rechte verbindingslijn 3" o:spid="_x0000_s1026" style="position:absolute;z-index:2;visibility:visible;mso-position-horizontal:left;mso-position-horizontal-relative:margin" from="0,10.5pt" to="4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" strokecolor="#4a7ebb">
            <w10:wrap anchorx="margin"/>
          </v:line>
        </w:pict>
      </w:r>
    </w:p>
    <w:p w14:paraId="49407514" w14:textId="77777777" w:rsidR="003F26E4" w:rsidRPr="00001572" w:rsidRDefault="003F26E4">
      <w:pPr>
        <w:rPr>
          <w:b/>
          <w:lang w:val="en-GB"/>
        </w:rPr>
      </w:pPr>
      <w:r w:rsidRPr="00001572">
        <w:rPr>
          <w:b/>
          <w:lang w:val="en-GB"/>
        </w:rPr>
        <w:t>Medication safety has been a major topic among pharmacists and other healthcare professionals throughout the world</w:t>
      </w:r>
      <w:r>
        <w:rPr>
          <w:b/>
          <w:lang w:val="en-GB"/>
        </w:rPr>
        <w:t>,</w:t>
      </w:r>
      <w:r w:rsidRPr="00001572">
        <w:rPr>
          <w:b/>
          <w:lang w:val="en-GB"/>
        </w:rPr>
        <w:t xml:space="preserve"> both pharmaceutical care</w:t>
      </w:r>
      <w:r>
        <w:rPr>
          <w:b/>
          <w:lang w:val="en-GB"/>
        </w:rPr>
        <w:t xml:space="preserve"> (PC)</w:t>
      </w:r>
      <w:r w:rsidRPr="00001572">
        <w:rPr>
          <w:b/>
          <w:lang w:val="en-GB"/>
        </w:rPr>
        <w:t xml:space="preserve"> as pharmacovigilance</w:t>
      </w:r>
      <w:r>
        <w:rPr>
          <w:b/>
          <w:lang w:val="en-GB"/>
        </w:rPr>
        <w:t xml:space="preserve"> (PV)</w:t>
      </w:r>
      <w:r w:rsidRPr="00001572">
        <w:rPr>
          <w:b/>
          <w:lang w:val="en-GB"/>
        </w:rPr>
        <w:t xml:space="preserve">. </w:t>
      </w:r>
      <w:r>
        <w:rPr>
          <w:b/>
          <w:lang w:val="en-GB"/>
        </w:rPr>
        <w:t>While PV consists of passive retrospective analysis, PC is considered to be an active engagement at the dispensing level including checks on interactions, contra-indications, allergies and improving patients’ adherence. However, not much is known about the quality of medication safety at the level of the individual patient in the developing world. The aim was to find out about the current</w:t>
      </w:r>
      <w:r w:rsidRPr="00A95F46">
        <w:rPr>
          <w:rFonts w:cs="TimesNewRomanPS"/>
          <w:color w:val="231F20"/>
          <w:lang w:val="en-GB"/>
        </w:rPr>
        <w:t xml:space="preserve"> </w:t>
      </w:r>
      <w:r w:rsidRPr="00543E61">
        <w:rPr>
          <w:rFonts w:cs="TimesNewRomanPS"/>
          <w:b/>
          <w:color w:val="231F20"/>
          <w:lang w:val="en-GB"/>
        </w:rPr>
        <w:t>efforts to improve medication safety in donor-sponsored public health program</w:t>
      </w:r>
      <w:r>
        <w:rPr>
          <w:rFonts w:cs="TimesNewRomanPS"/>
          <w:b/>
          <w:color w:val="231F20"/>
          <w:lang w:val="en-GB"/>
        </w:rPr>
        <w:t>me</w:t>
      </w:r>
      <w:r w:rsidRPr="00543E61">
        <w:rPr>
          <w:rFonts w:cs="TimesNewRomanPS"/>
          <w:b/>
          <w:color w:val="231F20"/>
          <w:lang w:val="en-GB"/>
        </w:rPr>
        <w:t>s</w:t>
      </w:r>
      <w:r>
        <w:rPr>
          <w:rFonts w:cs="TimesNewRomanPS"/>
          <w:b/>
          <w:color w:val="231F20"/>
          <w:lang w:val="en-GB"/>
        </w:rPr>
        <w:t xml:space="preserve"> (PHPs). The research was an initiative of the Global Initiative on Medication Safety (GIMS) Foundation. This is an organisation which emphasises the importance of</w:t>
      </w:r>
      <w:r>
        <w:rPr>
          <w:rFonts w:cs="TimesNewRomanPS"/>
          <w:color w:val="231F20"/>
          <w:lang w:val="en-GB"/>
        </w:rPr>
        <w:t xml:space="preserve"> </w:t>
      </w:r>
      <w:r w:rsidRPr="00F325EA">
        <w:rPr>
          <w:rFonts w:cs="TimesNewRomanPS"/>
          <w:b/>
          <w:color w:val="231F20"/>
          <w:lang w:val="en-GB"/>
        </w:rPr>
        <w:t>minimizing health risks originated by the global use of medication, with a focus on the developing world.</w:t>
      </w:r>
      <w:r w:rsidRPr="00543E61">
        <w:rPr>
          <w:b/>
          <w:lang w:val="en-GB"/>
        </w:rPr>
        <w:br/>
      </w:r>
      <w:r w:rsidRPr="00FE4B72">
        <w:rPr>
          <w:b/>
          <w:lang w:val="en-GB"/>
        </w:rPr>
        <w:t xml:space="preserve">To collect the data required </w:t>
      </w:r>
      <w:r>
        <w:rPr>
          <w:b/>
          <w:lang w:val="en-GB"/>
        </w:rPr>
        <w:t>on this matter</w:t>
      </w:r>
      <w:r w:rsidRPr="00FE4B72">
        <w:rPr>
          <w:b/>
          <w:lang w:val="en-GB"/>
        </w:rPr>
        <w:t>, some of the biggest organizations involved in the financing and distribution of medication through public health programs were studied. The websites of the organizations were studied along with direct contact through e-mailing, telephone calls and meetups.</w:t>
      </w:r>
      <w:r>
        <w:rPr>
          <w:b/>
          <w:lang w:val="en-GB"/>
        </w:rPr>
        <w:br/>
        <w:t xml:space="preserve">The main organisations who responded or were of the biggest interest were the WHO, The Global Fund, Médecins sans </w:t>
      </w:r>
      <w:proofErr w:type="spellStart"/>
      <w:r>
        <w:rPr>
          <w:b/>
          <w:lang w:val="en-GB"/>
        </w:rPr>
        <w:t>Frontières</w:t>
      </w:r>
      <w:proofErr w:type="spellEnd"/>
      <w:r>
        <w:rPr>
          <w:b/>
          <w:lang w:val="en-GB"/>
        </w:rPr>
        <w:t xml:space="preserve">, SIAPS programme and Healthy </w:t>
      </w:r>
      <w:proofErr w:type="spellStart"/>
      <w:r>
        <w:rPr>
          <w:b/>
          <w:lang w:val="en-GB"/>
        </w:rPr>
        <w:t>Entrepeneurs</w:t>
      </w:r>
      <w:proofErr w:type="spellEnd"/>
      <w:r>
        <w:rPr>
          <w:b/>
          <w:lang w:val="en-GB"/>
        </w:rPr>
        <w:t xml:space="preserve">. The WHO has issued more focus on PV and the importance of medication safety and follows up with funding. The Global Fund funds many PHPs, but since changing the funding system it is unclear how involved they are in medication safety. MSF and SIAPS have developed tools to improve PV, while MSF is also focusing on PC through its field workers. Healthy </w:t>
      </w:r>
      <w:proofErr w:type="spellStart"/>
      <w:r>
        <w:rPr>
          <w:b/>
          <w:lang w:val="en-GB"/>
        </w:rPr>
        <w:t>Entrepeneurs</w:t>
      </w:r>
      <w:proofErr w:type="spellEnd"/>
      <w:r>
        <w:rPr>
          <w:b/>
          <w:lang w:val="en-GB"/>
        </w:rPr>
        <w:t xml:space="preserve"> works in a different way by using a socially commercial way of operating with a focus on access to medicines, but less on medication safety.</w:t>
      </w:r>
      <w:r>
        <w:rPr>
          <w:b/>
          <w:lang w:val="en-GB"/>
        </w:rPr>
        <w:br/>
        <w:t xml:space="preserve">Our findings seem to show that although PV has received proper attention, </w:t>
      </w:r>
      <w:r w:rsidRPr="009D5D00">
        <w:rPr>
          <w:b/>
          <w:lang w:val="en-GB"/>
        </w:rPr>
        <w:t>i</w:t>
      </w:r>
      <w:r w:rsidRPr="009D5D00">
        <w:rPr>
          <w:rFonts w:cs="TimesNewRomanPS"/>
          <w:b/>
          <w:color w:val="231F20"/>
          <w:lang w:val="en-GB"/>
        </w:rPr>
        <w:t xml:space="preserve">ndividual medication safety in the form of </w:t>
      </w:r>
      <w:r>
        <w:rPr>
          <w:rFonts w:cs="TimesNewRomanPS"/>
          <w:b/>
          <w:color w:val="231F20"/>
          <w:lang w:val="en-GB"/>
        </w:rPr>
        <w:t>PC</w:t>
      </w:r>
      <w:r w:rsidRPr="009D5D00">
        <w:rPr>
          <w:rFonts w:cs="TimesNewRomanPS"/>
          <w:b/>
          <w:color w:val="231F20"/>
          <w:lang w:val="en-GB"/>
        </w:rPr>
        <w:t>, also in donor-sponsored programs, is still in its infancy, underreported or completely absent.</w:t>
      </w:r>
    </w:p>
    <w:p w14:paraId="48D86B43" w14:textId="77777777" w:rsidR="003F26E4" w:rsidRDefault="00895902" w:rsidP="0065737C">
      <w:pPr>
        <w:pStyle w:val="Kop2"/>
        <w:rPr>
          <w:rFonts w:ascii="Calibri" w:hAnsi="Calibri"/>
          <w:color w:val="auto"/>
          <w:sz w:val="22"/>
          <w:szCs w:val="22"/>
          <w:lang w:val="en-GB"/>
        </w:rPr>
      </w:pPr>
      <w:r>
        <w:rPr>
          <w:noProof/>
          <w:lang w:eastAsia="nl-NL"/>
        </w:rPr>
        <w:pict w14:anchorId="2842F1E0">
          <v:line id="Rechte verbindingslijn 2" o:spid="_x0000_s1027" style="position:absolute;z-index:1;visibility:visible;mso-position-horizontal:left;mso-position-horizontal-relative:margin" from="0,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" strokecolor="#4579b8">
            <w10:wrap anchorx="margin"/>
          </v:line>
        </w:pict>
      </w:r>
    </w:p>
    <w:p w14:paraId="3197D1DE" w14:textId="77777777" w:rsidR="003F26E4" w:rsidRDefault="003F26E4" w:rsidP="00275362">
      <w:pPr>
        <w:rPr>
          <w:lang w:val="en-GB"/>
        </w:rPr>
      </w:pPr>
    </w:p>
    <w:p w14:paraId="285AF409" w14:textId="77777777" w:rsidR="003F26E4" w:rsidRPr="00275362" w:rsidRDefault="003F26E4" w:rsidP="00275362">
      <w:pPr>
        <w:rPr>
          <w:lang w:val="en-GB"/>
        </w:rPr>
        <w:sectPr w:rsidR="003F26E4" w:rsidRPr="00275362" w:rsidSect="00EA529D">
          <w:footerReference w:type="default" r:id="rId7"/>
          <w:pgSz w:w="11906" w:h="16838"/>
          <w:pgMar w:top="1417" w:right="1417" w:bottom="719" w:left="1417" w:header="708" w:footer="708" w:gutter="0"/>
          <w:cols w:space="708"/>
          <w:docGrid w:linePitch="360"/>
        </w:sectPr>
      </w:pPr>
    </w:p>
    <w:p w14:paraId="4450D490" w14:textId="77777777" w:rsidR="003F26E4" w:rsidRPr="00A95F46" w:rsidRDefault="003F26E4" w:rsidP="00001572">
      <w:pPr>
        <w:pStyle w:val="Kop2"/>
        <w:jc w:val="both"/>
        <w:rPr>
          <w:lang w:val="en-GB"/>
        </w:rPr>
      </w:pPr>
      <w:r w:rsidRPr="00A95F46">
        <w:rPr>
          <w:lang w:val="en-GB"/>
        </w:rPr>
        <w:lastRenderedPageBreak/>
        <w:t>Introduction</w:t>
      </w:r>
    </w:p>
    <w:p w14:paraId="6BF7633D" w14:textId="77777777" w:rsidR="003F26E4" w:rsidRPr="00A95F46" w:rsidRDefault="003F26E4" w:rsidP="00001572">
      <w:pPr>
        <w:jc w:val="both"/>
        <w:rPr>
          <w:lang w:val="en-GB"/>
        </w:rPr>
      </w:pPr>
      <w:r w:rsidRPr="00A95F46">
        <w:rPr>
          <w:lang w:val="en-GB"/>
        </w:rPr>
        <w:t xml:space="preserve">Through the years there has been much attention for medication safety on a global scale. Medication safety is however a wide term and includes several factors. One of them is </w:t>
      </w:r>
      <w:r>
        <w:rPr>
          <w:lang w:val="en-GB"/>
        </w:rPr>
        <w:t>PC</w:t>
      </w:r>
      <w:r w:rsidRPr="00A95F46">
        <w:rPr>
          <w:lang w:val="en-GB"/>
        </w:rPr>
        <w:t>, the term used for pharmacists acting as a health care provider who can actively participate in illness prevention and health promotion [</w:t>
      </w:r>
      <w:r>
        <w:rPr>
          <w:lang w:val="en-GB"/>
        </w:rPr>
        <w:t>1</w:t>
      </w:r>
      <w:r w:rsidRPr="00A95F46">
        <w:rPr>
          <w:lang w:val="en-GB"/>
        </w:rPr>
        <w:t>]. The pharmacist does this on a patient level by checking dosages, contra-indications, allergies,</w:t>
      </w:r>
      <w:r>
        <w:rPr>
          <w:lang w:val="en-GB"/>
        </w:rPr>
        <w:t xml:space="preserve"> interactions, </w:t>
      </w:r>
      <w:r w:rsidRPr="00A95F46">
        <w:rPr>
          <w:lang w:val="en-GB"/>
        </w:rPr>
        <w:t>improve adherence</w:t>
      </w:r>
      <w:r>
        <w:rPr>
          <w:lang w:val="en-GB"/>
        </w:rPr>
        <w:t xml:space="preserve"> and inform the patient</w:t>
      </w:r>
      <w:r w:rsidRPr="00A95F46">
        <w:rPr>
          <w:lang w:val="en-GB"/>
        </w:rPr>
        <w:t xml:space="preserve"> to </w:t>
      </w:r>
      <w:r w:rsidRPr="00A95F46">
        <w:rPr>
          <w:lang w:val="en-GB"/>
        </w:rPr>
        <w:lastRenderedPageBreak/>
        <w:t xml:space="preserve">ensure a safe and effective treatment. Another factor of medication safety, consists of PV which is defined by the WHO as “the science and activities related to the detection, assessment, understanding and prevention of adverse drug effects or any other possible drug-related problems” </w:t>
      </w:r>
      <w:r>
        <w:rPr>
          <w:lang w:val="en-GB"/>
        </w:rPr>
        <w:t>[2</w:t>
      </w:r>
      <w:r w:rsidRPr="00A95F46">
        <w:rPr>
          <w:lang w:val="en-GB"/>
        </w:rPr>
        <w:t>]</w:t>
      </w:r>
      <w:r>
        <w:rPr>
          <w:lang w:val="en-GB"/>
        </w:rPr>
        <w:t>.</w:t>
      </w:r>
      <w:r w:rsidRPr="00A95F46">
        <w:rPr>
          <w:lang w:val="en-GB"/>
        </w:rPr>
        <w:t xml:space="preserve"> However, the definition of the WHO also includes the detection and collection of medication errors, lack of efficacy and counterfeit or substandard medicines. Therefore, a shift to a more </w:t>
      </w:r>
      <w:r w:rsidRPr="00A95F46">
        <w:rPr>
          <w:lang w:val="en-GB"/>
        </w:rPr>
        <w:lastRenderedPageBreak/>
        <w:t xml:space="preserve">broadened view has been noticed in recent years, stressing the importance of PV </w:t>
      </w:r>
      <w:r>
        <w:rPr>
          <w:lang w:val="en-GB"/>
        </w:rPr>
        <w:t>[3, 4</w:t>
      </w:r>
      <w:r w:rsidRPr="00A95F46">
        <w:rPr>
          <w:lang w:val="en-GB"/>
        </w:rPr>
        <w:t xml:space="preserve">]. </w:t>
      </w:r>
    </w:p>
    <w:p w14:paraId="0CA70D94" w14:textId="77777777" w:rsidR="003F26E4" w:rsidRPr="00A95F46" w:rsidRDefault="003F26E4" w:rsidP="00001572">
      <w:pPr>
        <w:jc w:val="both"/>
        <w:rPr>
          <w:rFonts w:cs="TimesNewRomanPS"/>
          <w:color w:val="231F20"/>
          <w:lang w:val="en-GB"/>
        </w:rPr>
      </w:pPr>
      <w:r w:rsidRPr="00A95F46">
        <w:rPr>
          <w:lang w:val="en-GB"/>
        </w:rPr>
        <w:t xml:space="preserve">In 2006, the WHO published a report to stress the importance of </w:t>
      </w:r>
      <w:r>
        <w:rPr>
          <w:lang w:val="en-GB"/>
        </w:rPr>
        <w:t>PV</w:t>
      </w:r>
      <w:r w:rsidRPr="00A95F46">
        <w:rPr>
          <w:lang w:val="en-GB"/>
        </w:rPr>
        <w:t xml:space="preserve"> in </w:t>
      </w:r>
      <w:r>
        <w:rPr>
          <w:lang w:val="en-GB"/>
        </w:rPr>
        <w:t>PHPs</w:t>
      </w:r>
      <w:r w:rsidRPr="00A95F46">
        <w:rPr>
          <w:lang w:val="en-GB"/>
        </w:rPr>
        <w:t xml:space="preserve"> in order to improve medication safety in developing countries. In this </w:t>
      </w:r>
      <w:proofErr w:type="gramStart"/>
      <w:r w:rsidRPr="00A95F46">
        <w:rPr>
          <w:lang w:val="en-GB"/>
        </w:rPr>
        <w:t>report</w:t>
      </w:r>
      <w:proofErr w:type="gramEnd"/>
      <w:r w:rsidRPr="00A95F46">
        <w:rPr>
          <w:lang w:val="en-GB"/>
        </w:rPr>
        <w:t xml:space="preserve"> it was claimed that “t</w:t>
      </w:r>
      <w:r w:rsidRPr="00A95F46">
        <w:rPr>
          <w:rFonts w:cs="TimesNewRomanPS"/>
          <w:color w:val="231F20"/>
          <w:lang w:val="en-GB"/>
        </w:rPr>
        <w:t xml:space="preserve">he idea that </w:t>
      </w:r>
      <w:r>
        <w:rPr>
          <w:rFonts w:cs="TimesNewRomanPS"/>
          <w:color w:val="231F20"/>
          <w:lang w:val="en-GB"/>
        </w:rPr>
        <w:t>PV</w:t>
      </w:r>
      <w:r w:rsidRPr="00A95F46">
        <w:rPr>
          <w:rFonts w:cs="TimesNewRomanPS"/>
          <w:color w:val="231F20"/>
          <w:lang w:val="en-GB"/>
        </w:rPr>
        <w:t xml:space="preserve"> is a luxury, affordable only in the developed world, should be replaced by the realization that a reliable system of </w:t>
      </w:r>
      <w:r>
        <w:rPr>
          <w:rFonts w:cs="TimesNewRomanPS"/>
          <w:color w:val="231F20"/>
          <w:lang w:val="en-GB"/>
        </w:rPr>
        <w:t>PV</w:t>
      </w:r>
      <w:r w:rsidRPr="00A95F46">
        <w:rPr>
          <w:rFonts w:cs="TimesNewRomanPS"/>
          <w:color w:val="231F20"/>
          <w:lang w:val="en-GB"/>
        </w:rPr>
        <w:t xml:space="preserve"> is essential for the rational, safe and cost-effective use of medicines in all countries and consequently for public health, and should produce clear advantages in relation t</w:t>
      </w:r>
      <w:r>
        <w:rPr>
          <w:rFonts w:cs="TimesNewRomanPS"/>
          <w:color w:val="231F20"/>
          <w:lang w:val="en-GB"/>
        </w:rPr>
        <w:t>o cost” [5</w:t>
      </w:r>
      <w:r w:rsidRPr="00A95F46">
        <w:rPr>
          <w:rFonts w:cs="TimesNewRomanPS"/>
          <w:color w:val="231F20"/>
          <w:lang w:val="en-GB"/>
        </w:rPr>
        <w:t>]</w:t>
      </w:r>
      <w:r>
        <w:rPr>
          <w:rFonts w:cs="TimesNewRomanPS"/>
          <w:color w:val="231F20"/>
          <w:lang w:val="en-GB"/>
        </w:rPr>
        <w:t>.</w:t>
      </w:r>
      <w:r w:rsidRPr="00A95F46">
        <w:rPr>
          <w:rFonts w:cs="TimesNewRomanPS"/>
          <w:color w:val="231F20"/>
          <w:lang w:val="en-GB"/>
        </w:rPr>
        <w:t xml:space="preserve"> </w:t>
      </w:r>
      <w:r>
        <w:rPr>
          <w:rFonts w:cs="TimesNewRomanPS"/>
          <w:color w:val="231F20"/>
          <w:lang w:val="en-GB"/>
        </w:rPr>
        <w:t>PV</w:t>
      </w:r>
      <w:r w:rsidRPr="00A95F46">
        <w:rPr>
          <w:rFonts w:cs="TimesNewRomanPS"/>
          <w:color w:val="231F20"/>
          <w:lang w:val="en-GB"/>
        </w:rPr>
        <w:t xml:space="preserve"> became of apparent importance due to the improved access to medicines which put many more individuals consequently at risk of treatment-related adverse effects. Therefore, The Global Fund (GF) introduced PV as a requirement in the proposals for the 10</w:t>
      </w:r>
      <w:r w:rsidRPr="00A95F46">
        <w:rPr>
          <w:rFonts w:cs="TimesNewRomanPS"/>
          <w:color w:val="231F20"/>
          <w:vertAlign w:val="superscript"/>
          <w:lang w:val="en-GB"/>
        </w:rPr>
        <w:t>th</w:t>
      </w:r>
      <w:r w:rsidRPr="00A95F46">
        <w:rPr>
          <w:rFonts w:cs="TimesNewRomanPS"/>
          <w:color w:val="231F20"/>
          <w:lang w:val="en-GB"/>
        </w:rPr>
        <w:t xml:space="preserve"> round of grant applications back in 2010. GF is one of the main parties responsible for providing medication in developing countries on a widespread level </w:t>
      </w:r>
      <w:r>
        <w:rPr>
          <w:rFonts w:cs="TimesNewRomanPS"/>
          <w:color w:val="231F20"/>
          <w:lang w:val="en-GB"/>
        </w:rPr>
        <w:t>[3</w:t>
      </w:r>
      <w:r w:rsidRPr="00A95F46">
        <w:rPr>
          <w:rFonts w:cs="TimesNewRomanPS"/>
          <w:color w:val="231F20"/>
          <w:lang w:val="en-GB"/>
        </w:rPr>
        <w:t xml:space="preserve">]. However, since 2011 GF has changed its ways of funding and now uses a network of country coordinating mechanisms (CCMs) to distribute grants </w:t>
      </w:r>
      <w:r>
        <w:rPr>
          <w:rFonts w:cs="TimesNewRomanPS"/>
          <w:color w:val="231F20"/>
          <w:lang w:val="en-GB"/>
        </w:rPr>
        <w:t>[6</w:t>
      </w:r>
      <w:r w:rsidRPr="00A95F46">
        <w:rPr>
          <w:rFonts w:cs="TimesNewRomanPS"/>
          <w:color w:val="231F20"/>
          <w:lang w:val="en-GB"/>
        </w:rPr>
        <w:t>]</w:t>
      </w:r>
      <w:r>
        <w:rPr>
          <w:rFonts w:cs="TimesNewRomanPS"/>
          <w:color w:val="231F20"/>
          <w:lang w:val="en-GB"/>
        </w:rPr>
        <w:t>.</w:t>
      </w:r>
      <w:r w:rsidRPr="00A95F46">
        <w:rPr>
          <w:rFonts w:cs="TimesNewRomanPS"/>
          <w:color w:val="231F20"/>
          <w:lang w:val="en-GB"/>
        </w:rPr>
        <w:t xml:space="preserve"> It is </w:t>
      </w:r>
      <w:proofErr w:type="gramStart"/>
      <w:r w:rsidRPr="00A95F46">
        <w:rPr>
          <w:rFonts w:cs="TimesNewRomanPS"/>
          <w:color w:val="231F20"/>
          <w:lang w:val="en-GB"/>
        </w:rPr>
        <w:t>unclear</w:t>
      </w:r>
      <w:proofErr w:type="gramEnd"/>
      <w:r w:rsidRPr="00A95F46">
        <w:rPr>
          <w:rFonts w:cs="TimesNewRomanPS"/>
          <w:color w:val="231F20"/>
          <w:lang w:val="en-GB"/>
        </w:rPr>
        <w:t xml:space="preserve"> what effect this change of funding has had on the medication safety agenda.</w:t>
      </w:r>
    </w:p>
    <w:p w14:paraId="7FC0A853" w14:textId="77777777" w:rsidR="003F26E4" w:rsidRPr="00A95F46" w:rsidRDefault="003F26E4" w:rsidP="00001572">
      <w:pPr>
        <w:jc w:val="both"/>
        <w:rPr>
          <w:rFonts w:cs="TimesNewRomanPS"/>
          <w:color w:val="231F20"/>
          <w:lang w:val="en-GB"/>
        </w:rPr>
      </w:pPr>
      <w:r w:rsidRPr="00A95F46">
        <w:rPr>
          <w:rFonts w:cs="TimesNewRomanPS"/>
          <w:color w:val="231F20"/>
          <w:lang w:val="en-GB"/>
        </w:rPr>
        <w:t xml:space="preserve"> The focus on the importance of medication safety and thus PV, has led to many countries starting up national PV systems between 2000 and 2010. However, there is a clear lack of resources and staff to support these </w:t>
      </w:r>
      <w:r>
        <w:rPr>
          <w:rFonts w:cs="TimesNewRomanPS"/>
          <w:color w:val="231F20"/>
          <w:lang w:val="en-GB"/>
        </w:rPr>
        <w:t>[7</w:t>
      </w:r>
      <w:r w:rsidRPr="00A95F46">
        <w:rPr>
          <w:rFonts w:cs="TimesNewRomanPS"/>
          <w:color w:val="231F20"/>
          <w:lang w:val="en-GB"/>
        </w:rPr>
        <w:t xml:space="preserve">]. Recently the PV agenda in these countries has become very much donor-driven, with most efforts going into setting up PV programs for medicines used in </w:t>
      </w:r>
      <w:r>
        <w:rPr>
          <w:rFonts w:cs="TimesNewRomanPS"/>
          <w:color w:val="231F20"/>
          <w:lang w:val="en-GB"/>
        </w:rPr>
        <w:t>PHPs, such as malaria and HIV</w:t>
      </w:r>
      <w:r w:rsidRPr="00A95F46">
        <w:rPr>
          <w:rFonts w:cs="TimesNewRomanPS"/>
          <w:color w:val="231F20"/>
          <w:lang w:val="en-GB"/>
        </w:rPr>
        <w:t xml:space="preserve"> </w:t>
      </w:r>
      <w:r>
        <w:rPr>
          <w:rFonts w:cs="TimesNewRomanPS"/>
          <w:color w:val="231F20"/>
          <w:lang w:val="en-GB"/>
        </w:rPr>
        <w:t>[7</w:t>
      </w:r>
      <w:r w:rsidRPr="00A95F46">
        <w:rPr>
          <w:rFonts w:cs="TimesNewRomanPS"/>
          <w:color w:val="231F20"/>
          <w:lang w:val="en-GB"/>
        </w:rPr>
        <w:t>]</w:t>
      </w:r>
      <w:r>
        <w:rPr>
          <w:rFonts w:cs="TimesNewRomanPS"/>
          <w:color w:val="231F20"/>
          <w:lang w:val="en-GB"/>
        </w:rPr>
        <w:t>.</w:t>
      </w:r>
      <w:r w:rsidRPr="00A95F46">
        <w:rPr>
          <w:rFonts w:cs="TimesNewRomanPS"/>
          <w:color w:val="231F20"/>
          <w:lang w:val="en-GB"/>
        </w:rPr>
        <w:t xml:space="preserve"> The need for adequate medication safety activities is growing as non-communicable diseases (diabetes, cardiovascular disease) are becoming more prevalent in developing countries. Therefore, the main point in this project was to find out what the current situation is of efforts to improve medication safety in donor-sponsored </w:t>
      </w:r>
      <w:r>
        <w:rPr>
          <w:rFonts w:cs="TimesNewRomanPS"/>
          <w:color w:val="231F20"/>
          <w:lang w:val="en-GB"/>
        </w:rPr>
        <w:t>PHP</w:t>
      </w:r>
      <w:r w:rsidRPr="00A95F46">
        <w:rPr>
          <w:rFonts w:cs="TimesNewRomanPS"/>
          <w:color w:val="231F20"/>
          <w:lang w:val="en-GB"/>
        </w:rPr>
        <w:t xml:space="preserve">s, ten years after the WHO emphasized its importance? </w:t>
      </w:r>
    </w:p>
    <w:p w14:paraId="1D0675E2" w14:textId="77777777" w:rsidR="003F26E4" w:rsidRPr="00A95F46" w:rsidRDefault="003F26E4" w:rsidP="00001572">
      <w:pPr>
        <w:pStyle w:val="Kop2"/>
        <w:jc w:val="both"/>
        <w:rPr>
          <w:lang w:val="en-GB"/>
        </w:rPr>
      </w:pPr>
      <w:r w:rsidRPr="00A95F46">
        <w:rPr>
          <w:lang w:val="en-GB"/>
        </w:rPr>
        <w:lastRenderedPageBreak/>
        <w:t xml:space="preserve">Method </w:t>
      </w:r>
    </w:p>
    <w:p w14:paraId="1BE53127" w14:textId="77777777" w:rsidR="003F26E4" w:rsidRPr="00A95F46" w:rsidRDefault="003F26E4" w:rsidP="00001572">
      <w:pPr>
        <w:jc w:val="both"/>
        <w:rPr>
          <w:rFonts w:cs="TimesNewRomanPS"/>
          <w:color w:val="231F20"/>
          <w:lang w:val="en-GB"/>
        </w:rPr>
      </w:pPr>
      <w:r w:rsidRPr="00A95F46">
        <w:rPr>
          <w:rFonts w:cs="TimesNewRomanPS"/>
          <w:color w:val="231F20"/>
          <w:lang w:val="en-GB"/>
        </w:rPr>
        <w:t>This project was initiated by the Global Initiative on Medication Safety (GIMS) Foundation in conjunction with the University of Utrecht. The GIMS Foundation’s main objective is to minimize health risks originated by the global use of medication. The writer is a student who is at the end of his Master’s degree in Pharmacy at the University of Utrecht.</w:t>
      </w:r>
    </w:p>
    <w:p w14:paraId="429B54AC" w14:textId="77777777" w:rsidR="003F26E4" w:rsidRPr="00A95F46" w:rsidRDefault="003F26E4" w:rsidP="00001572">
      <w:pPr>
        <w:jc w:val="both"/>
        <w:rPr>
          <w:lang w:val="en-GB"/>
        </w:rPr>
      </w:pPr>
      <w:r w:rsidRPr="00A95F46">
        <w:rPr>
          <w:lang w:val="en-GB"/>
        </w:rPr>
        <w:t xml:space="preserve">To collect the data required for this project, some of the biggest organizations involved in the financing and distribution of medication through </w:t>
      </w:r>
      <w:r>
        <w:rPr>
          <w:lang w:val="en-GB"/>
        </w:rPr>
        <w:t>PHP</w:t>
      </w:r>
      <w:r w:rsidRPr="00A95F46">
        <w:rPr>
          <w:lang w:val="en-GB"/>
        </w:rPr>
        <w:t>s were studied. To achieve this the websites of the organizations were studied along with any files detailing their incorporation of medication safety. Direct contact was initiated by e-mailing, followed up by calling through telephone in case of a lack of response. The collected information was discussed and analysed and in some cases summarized in short abstracts. These proved to be the basis of this article.</w:t>
      </w:r>
    </w:p>
    <w:p w14:paraId="5C0C2A77" w14:textId="77777777" w:rsidR="003F26E4" w:rsidRDefault="003F26E4" w:rsidP="00001572">
      <w:pPr>
        <w:pStyle w:val="Kop2"/>
        <w:jc w:val="both"/>
        <w:rPr>
          <w:lang w:val="en-GB"/>
        </w:rPr>
      </w:pPr>
      <w:r>
        <w:rPr>
          <w:lang w:val="en-GB"/>
        </w:rPr>
        <w:t>Results</w:t>
      </w:r>
    </w:p>
    <w:p w14:paraId="59C60B38" w14:textId="77777777" w:rsidR="003F26E4" w:rsidRPr="003033F5" w:rsidRDefault="003F26E4" w:rsidP="003033F5">
      <w:pPr>
        <w:rPr>
          <w:lang w:val="en-GB"/>
        </w:rPr>
      </w:pPr>
      <w:r>
        <w:rPr>
          <w:lang w:val="en-GB"/>
        </w:rPr>
        <w:t>Table 1 summarises the findings of the different organisations studied for this project. Detailed information is found further up this section.</w:t>
      </w:r>
    </w:p>
    <w:p w14:paraId="1DA94414" w14:textId="77777777" w:rsidR="003F26E4" w:rsidRPr="00A95F46" w:rsidRDefault="003F26E4" w:rsidP="00001572">
      <w:pPr>
        <w:pStyle w:val="Kop3"/>
        <w:jc w:val="both"/>
        <w:rPr>
          <w:lang w:val="en-GB"/>
        </w:rPr>
      </w:pPr>
      <w:r w:rsidRPr="00A95F46">
        <w:rPr>
          <w:lang w:val="en-GB"/>
        </w:rPr>
        <w:t>World Health Organization (WHO)</w:t>
      </w:r>
    </w:p>
    <w:p w14:paraId="01A579DA" w14:textId="77777777" w:rsidR="003F26E4" w:rsidRPr="00A95F46" w:rsidRDefault="003F26E4" w:rsidP="00001572">
      <w:pPr>
        <w:jc w:val="both"/>
        <w:rPr>
          <w:rFonts w:cs="TimesNewRomanPS"/>
          <w:color w:val="231F20"/>
          <w:lang w:val="en-GB"/>
        </w:rPr>
      </w:pPr>
      <w:r w:rsidRPr="00A95F46">
        <w:rPr>
          <w:rFonts w:cs="TimesNewRomanPS"/>
          <w:color w:val="231F20"/>
          <w:lang w:val="en-GB"/>
        </w:rPr>
        <w:t xml:space="preserve">The WHO plays a big part in supporting developing countries to improve their healthcare. Their main aim is to direct international health within the United Nations community. Next to providing financial aid, the WHO sets up policies, norms, standards and guidelines, such as how to start and maintain functional national </w:t>
      </w:r>
      <w:r>
        <w:rPr>
          <w:rFonts w:cs="TimesNewRomanPS"/>
          <w:color w:val="231F20"/>
          <w:lang w:val="en-GB"/>
        </w:rPr>
        <w:t>PV</w:t>
      </w:r>
      <w:r w:rsidRPr="00A95F46">
        <w:rPr>
          <w:rFonts w:cs="TimesNewRomanPS"/>
          <w:color w:val="231F20"/>
          <w:lang w:val="en-GB"/>
        </w:rPr>
        <w:t xml:space="preserve"> centres, but also how to perform </w:t>
      </w:r>
      <w:r>
        <w:rPr>
          <w:rFonts w:cs="TimesNewRomanPS"/>
          <w:color w:val="231F20"/>
          <w:lang w:val="en-GB"/>
        </w:rPr>
        <w:t>PV</w:t>
      </w:r>
      <w:r w:rsidRPr="00A95F46">
        <w:rPr>
          <w:rFonts w:cs="TimesNewRomanPS"/>
          <w:color w:val="231F20"/>
          <w:lang w:val="en-GB"/>
        </w:rPr>
        <w:t xml:space="preserve"> for medicines against malaria,</w:t>
      </w:r>
      <w:r>
        <w:rPr>
          <w:rFonts w:cs="TimesNewRomanPS"/>
          <w:color w:val="231F20"/>
          <w:lang w:val="en-GB"/>
        </w:rPr>
        <w:t xml:space="preserve"> HIV/AIDS and tuberculosis</w:t>
      </w:r>
      <w:r w:rsidRPr="00A95F46">
        <w:rPr>
          <w:rFonts w:cs="TimesNewRomanPS"/>
          <w:color w:val="231F20"/>
          <w:lang w:val="en-GB"/>
        </w:rPr>
        <w:t xml:space="preserve"> </w:t>
      </w:r>
      <w:r>
        <w:rPr>
          <w:rFonts w:cs="TimesNewRomanPS"/>
          <w:color w:val="231F20"/>
          <w:lang w:val="en-GB"/>
        </w:rPr>
        <w:t>[8,9</w:t>
      </w:r>
      <w:r w:rsidRPr="00A95F46">
        <w:rPr>
          <w:rFonts w:cs="TimesNewRomanPS"/>
          <w:color w:val="231F20"/>
          <w:lang w:val="en-GB"/>
        </w:rPr>
        <w:t>]</w:t>
      </w:r>
      <w:r>
        <w:rPr>
          <w:rFonts w:cs="TimesNewRomanPS"/>
          <w:color w:val="231F20"/>
          <w:lang w:val="en-GB"/>
        </w:rPr>
        <w:t>.</w:t>
      </w:r>
      <w:r w:rsidRPr="00A95F46">
        <w:rPr>
          <w:rFonts w:cs="TimesNewRomanPS"/>
          <w:color w:val="231F20"/>
          <w:lang w:val="en-GB"/>
        </w:rPr>
        <w:t xml:space="preserve"> They keep a watchful eye over developments in medication safety throughout the world and publish scientific articles to keep the scientific world aware and updated </w:t>
      </w:r>
      <w:r>
        <w:rPr>
          <w:rFonts w:cs="TimesNewRomanPS"/>
          <w:color w:val="231F20"/>
          <w:lang w:val="en-GB"/>
        </w:rPr>
        <w:t>[3,5,7</w:t>
      </w:r>
      <w:r w:rsidRPr="00A95F46">
        <w:rPr>
          <w:rFonts w:cs="TimesNewRomanPS"/>
          <w:color w:val="231F20"/>
          <w:lang w:val="en-GB"/>
        </w:rPr>
        <w:t>]</w:t>
      </w:r>
      <w:r>
        <w:rPr>
          <w:rFonts w:cs="TimesNewRomanPS"/>
          <w:color w:val="231F20"/>
          <w:lang w:val="en-GB"/>
        </w:rPr>
        <w:t>.</w:t>
      </w:r>
      <w:r w:rsidRPr="00A95F46">
        <w:rPr>
          <w:rFonts w:cs="TimesNewRomanPS"/>
          <w:color w:val="231F20"/>
          <w:lang w:val="en-GB"/>
        </w:rPr>
        <w:t xml:space="preserve"> The WHO also has close bonds with the Global Fund and these two parties collaborate on many fronts.</w:t>
      </w:r>
    </w:p>
    <w:tbl>
      <w:tblPr>
        <w:tblpPr w:leftFromText="141" w:rightFromText="141" w:vertAnchor="text" w:horzAnchor="margin" w:tblpY="84"/>
        <w:tblW w:w="938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708"/>
        <w:gridCol w:w="1105"/>
        <w:gridCol w:w="1719"/>
        <w:gridCol w:w="2423"/>
        <w:gridCol w:w="2425"/>
      </w:tblGrid>
      <w:tr w:rsidR="003F26E4" w:rsidRPr="005C018B" w14:paraId="1374A715" w14:textId="77777777" w:rsidTr="00A92451">
        <w:trPr>
          <w:trHeight w:val="274"/>
        </w:trPr>
        <w:tc>
          <w:tcPr>
            <w:tcW w:w="1708" w:type="dxa"/>
            <w:tcBorders>
              <w:top w:val="single" w:sz="4" w:space="0" w:color="4BACC6"/>
              <w:left w:val="single" w:sz="4" w:space="0" w:color="4BACC6"/>
              <w:bottom w:val="single" w:sz="4" w:space="0" w:color="4BACC6"/>
              <w:right w:val="nil"/>
            </w:tcBorders>
            <w:shd w:val="clear" w:color="auto" w:fill="4BACC6"/>
          </w:tcPr>
          <w:p w14:paraId="444057B8" w14:textId="77777777" w:rsidR="003F26E4" w:rsidRPr="00A92451" w:rsidRDefault="003F26E4" w:rsidP="00A92451">
            <w:pPr>
              <w:jc w:val="center"/>
              <w:rPr>
                <w:b/>
                <w:bCs/>
                <w:color w:val="FFFFFF"/>
                <w:sz w:val="20"/>
                <w:lang w:val="en-GB"/>
              </w:rPr>
            </w:pPr>
            <w:r w:rsidRPr="00A92451">
              <w:rPr>
                <w:b/>
                <w:color w:val="FFFFFF"/>
                <w:sz w:val="20"/>
                <w:lang w:val="en-GB"/>
              </w:rPr>
              <w:lastRenderedPageBreak/>
              <w:t>Organisation</w:t>
            </w:r>
          </w:p>
        </w:tc>
        <w:tc>
          <w:tcPr>
            <w:tcW w:w="1105" w:type="dxa"/>
            <w:tcBorders>
              <w:top w:val="single" w:sz="4" w:space="0" w:color="4BACC6"/>
              <w:left w:val="nil"/>
              <w:bottom w:val="single" w:sz="4" w:space="0" w:color="4BACC6"/>
              <w:right w:val="nil"/>
            </w:tcBorders>
            <w:shd w:val="clear" w:color="auto" w:fill="4BACC6"/>
          </w:tcPr>
          <w:p w14:paraId="7371F82C" w14:textId="77777777" w:rsidR="003F26E4" w:rsidRPr="00A92451" w:rsidRDefault="003F26E4" w:rsidP="00A92451">
            <w:pPr>
              <w:jc w:val="center"/>
              <w:rPr>
                <w:b/>
                <w:bCs/>
                <w:color w:val="FFFFFF"/>
                <w:sz w:val="20"/>
                <w:lang w:val="en-GB"/>
              </w:rPr>
            </w:pPr>
            <w:r w:rsidRPr="00A92451">
              <w:rPr>
                <w:b/>
                <w:color w:val="FFFFFF"/>
                <w:sz w:val="20"/>
                <w:lang w:val="en-GB"/>
              </w:rPr>
              <w:t>Response?</w:t>
            </w:r>
          </w:p>
        </w:tc>
        <w:tc>
          <w:tcPr>
            <w:tcW w:w="1719" w:type="dxa"/>
            <w:tcBorders>
              <w:top w:val="single" w:sz="4" w:space="0" w:color="4BACC6"/>
              <w:left w:val="nil"/>
              <w:bottom w:val="single" w:sz="4" w:space="0" w:color="4BACC6"/>
              <w:right w:val="nil"/>
            </w:tcBorders>
            <w:shd w:val="clear" w:color="auto" w:fill="4BACC6"/>
          </w:tcPr>
          <w:p w14:paraId="764A9C7A" w14:textId="77777777" w:rsidR="003F26E4" w:rsidRPr="00A92451" w:rsidRDefault="003F26E4" w:rsidP="00A92451">
            <w:pPr>
              <w:jc w:val="center"/>
              <w:rPr>
                <w:b/>
                <w:bCs/>
                <w:color w:val="FFFFFF"/>
                <w:sz w:val="20"/>
                <w:lang w:val="en-GB"/>
              </w:rPr>
            </w:pPr>
            <w:r w:rsidRPr="00A92451">
              <w:rPr>
                <w:b/>
                <w:color w:val="FFFFFF"/>
                <w:sz w:val="20"/>
                <w:lang w:val="en-GB"/>
              </w:rPr>
              <w:t>Policy on PV</w:t>
            </w:r>
          </w:p>
        </w:tc>
        <w:tc>
          <w:tcPr>
            <w:tcW w:w="2423" w:type="dxa"/>
            <w:tcBorders>
              <w:top w:val="single" w:sz="4" w:space="0" w:color="4BACC6"/>
              <w:left w:val="nil"/>
              <w:bottom w:val="single" w:sz="4" w:space="0" w:color="4BACC6"/>
              <w:right w:val="nil"/>
            </w:tcBorders>
            <w:shd w:val="clear" w:color="auto" w:fill="4BACC6"/>
          </w:tcPr>
          <w:p w14:paraId="2761F520" w14:textId="77777777" w:rsidR="003F26E4" w:rsidRPr="00A92451" w:rsidRDefault="003F26E4" w:rsidP="00A92451">
            <w:pPr>
              <w:jc w:val="center"/>
              <w:rPr>
                <w:b/>
                <w:bCs/>
                <w:color w:val="FFFFFF"/>
                <w:sz w:val="20"/>
                <w:lang w:val="en-GB"/>
              </w:rPr>
            </w:pPr>
            <w:r w:rsidRPr="00A92451">
              <w:rPr>
                <w:b/>
                <w:color w:val="FFFFFF"/>
                <w:sz w:val="20"/>
                <w:lang w:val="en-GB"/>
              </w:rPr>
              <w:t>Actions towards PV</w:t>
            </w:r>
          </w:p>
        </w:tc>
        <w:tc>
          <w:tcPr>
            <w:tcW w:w="2425" w:type="dxa"/>
            <w:tcBorders>
              <w:top w:val="single" w:sz="4" w:space="0" w:color="4BACC6"/>
              <w:left w:val="nil"/>
              <w:bottom w:val="single" w:sz="4" w:space="0" w:color="4BACC6"/>
              <w:right w:val="single" w:sz="4" w:space="0" w:color="4BACC6"/>
            </w:tcBorders>
            <w:shd w:val="clear" w:color="auto" w:fill="4BACC6"/>
          </w:tcPr>
          <w:p w14:paraId="74058964" w14:textId="77777777" w:rsidR="003F26E4" w:rsidRPr="00A92451" w:rsidRDefault="003F26E4" w:rsidP="00A92451">
            <w:pPr>
              <w:jc w:val="center"/>
              <w:rPr>
                <w:b/>
                <w:bCs/>
                <w:color w:val="FFFFFF"/>
                <w:sz w:val="20"/>
                <w:lang w:val="en-GB"/>
              </w:rPr>
            </w:pPr>
            <w:r w:rsidRPr="00A92451">
              <w:rPr>
                <w:b/>
                <w:color w:val="FFFFFF"/>
                <w:sz w:val="20"/>
                <w:lang w:val="en-GB"/>
              </w:rPr>
              <w:t>Actions towards PC</w:t>
            </w:r>
          </w:p>
        </w:tc>
      </w:tr>
      <w:tr w:rsidR="003F26E4" w:rsidRPr="005C018B" w14:paraId="7CDE3BFA" w14:textId="77777777" w:rsidTr="00A92451">
        <w:trPr>
          <w:trHeight w:val="383"/>
        </w:trPr>
        <w:tc>
          <w:tcPr>
            <w:tcW w:w="1708" w:type="dxa"/>
            <w:shd w:val="clear" w:color="auto" w:fill="DAEEF3"/>
          </w:tcPr>
          <w:p w14:paraId="7D3A9DE0" w14:textId="77777777" w:rsidR="003F26E4" w:rsidRPr="00A92451" w:rsidRDefault="003F26E4" w:rsidP="00A92451">
            <w:pPr>
              <w:rPr>
                <w:b/>
                <w:bCs/>
                <w:sz w:val="20"/>
                <w:lang w:val="en-GB"/>
              </w:rPr>
            </w:pPr>
            <w:r w:rsidRPr="00A92451">
              <w:rPr>
                <w:b/>
                <w:sz w:val="20"/>
                <w:lang w:val="en-GB"/>
              </w:rPr>
              <w:t>WHO: several departments</w:t>
            </w:r>
          </w:p>
        </w:tc>
        <w:tc>
          <w:tcPr>
            <w:tcW w:w="1105" w:type="dxa"/>
            <w:shd w:val="clear" w:color="auto" w:fill="DAEEF3"/>
          </w:tcPr>
          <w:p w14:paraId="4CC7A4FE" w14:textId="77777777" w:rsidR="003F26E4" w:rsidRPr="00A92451" w:rsidRDefault="003F26E4" w:rsidP="00A92451">
            <w:pPr>
              <w:rPr>
                <w:sz w:val="20"/>
                <w:lang w:val="en-GB"/>
              </w:rPr>
            </w:pPr>
            <w:r w:rsidRPr="00A92451">
              <w:rPr>
                <w:sz w:val="20"/>
                <w:lang w:val="en-GB"/>
              </w:rPr>
              <w:t>No or not helpful</w:t>
            </w:r>
          </w:p>
        </w:tc>
        <w:tc>
          <w:tcPr>
            <w:tcW w:w="1719" w:type="dxa"/>
            <w:shd w:val="clear" w:color="auto" w:fill="DAEEF3"/>
          </w:tcPr>
          <w:p w14:paraId="22117F9D" w14:textId="77777777" w:rsidR="003F26E4" w:rsidRPr="00A92451" w:rsidRDefault="003F26E4" w:rsidP="00A92451">
            <w:pPr>
              <w:rPr>
                <w:sz w:val="20"/>
                <w:lang w:val="en-GB"/>
              </w:rPr>
            </w:pPr>
            <w:r w:rsidRPr="00A92451">
              <w:rPr>
                <w:sz w:val="20"/>
                <w:lang w:val="en-GB"/>
              </w:rPr>
              <w:t>Yes</w:t>
            </w:r>
          </w:p>
        </w:tc>
        <w:tc>
          <w:tcPr>
            <w:tcW w:w="2423" w:type="dxa"/>
            <w:shd w:val="clear" w:color="auto" w:fill="DAEEF3"/>
          </w:tcPr>
          <w:p w14:paraId="14596DA0" w14:textId="77777777" w:rsidR="003F26E4" w:rsidRPr="00A92451" w:rsidRDefault="003F26E4" w:rsidP="00A92451">
            <w:pPr>
              <w:numPr>
                <w:ilvl w:val="0"/>
                <w:numId w:val="1"/>
              </w:numPr>
              <w:contextualSpacing/>
              <w:rPr>
                <w:sz w:val="20"/>
                <w:lang w:val="en-GB"/>
              </w:rPr>
            </w:pPr>
            <w:r w:rsidRPr="00A92451">
              <w:rPr>
                <w:sz w:val="20"/>
                <w:lang w:val="en-GB"/>
              </w:rPr>
              <w:t>Setting up guidelines, standards, etc.</w:t>
            </w:r>
          </w:p>
          <w:p w14:paraId="45CF4075" w14:textId="77777777" w:rsidR="003F26E4" w:rsidRPr="00A92451" w:rsidRDefault="003F26E4" w:rsidP="00A92451">
            <w:pPr>
              <w:numPr>
                <w:ilvl w:val="0"/>
                <w:numId w:val="1"/>
              </w:numPr>
              <w:contextualSpacing/>
              <w:rPr>
                <w:sz w:val="20"/>
                <w:lang w:val="en-GB"/>
              </w:rPr>
            </w:pPr>
            <w:r w:rsidRPr="00A92451">
              <w:rPr>
                <w:sz w:val="20"/>
                <w:lang w:val="en-GB"/>
              </w:rPr>
              <w:t>Drug Monitoring Programme</w:t>
            </w:r>
          </w:p>
          <w:p w14:paraId="3AE89E39" w14:textId="77777777" w:rsidR="003F26E4" w:rsidRPr="00A92451" w:rsidRDefault="003F26E4" w:rsidP="00A92451">
            <w:pPr>
              <w:numPr>
                <w:ilvl w:val="0"/>
                <w:numId w:val="1"/>
              </w:numPr>
              <w:contextualSpacing/>
              <w:rPr>
                <w:sz w:val="20"/>
                <w:lang w:val="en-GB"/>
              </w:rPr>
            </w:pPr>
            <w:r w:rsidRPr="00A92451">
              <w:rPr>
                <w:sz w:val="20"/>
                <w:lang w:val="en-GB"/>
              </w:rPr>
              <w:t>Financing</w:t>
            </w:r>
          </w:p>
        </w:tc>
        <w:tc>
          <w:tcPr>
            <w:tcW w:w="2425" w:type="dxa"/>
            <w:shd w:val="clear" w:color="auto" w:fill="DAEEF3"/>
          </w:tcPr>
          <w:p w14:paraId="090AC2C2" w14:textId="77777777" w:rsidR="003F26E4" w:rsidRPr="00A92451" w:rsidRDefault="003F26E4" w:rsidP="00A92451">
            <w:pPr>
              <w:rPr>
                <w:sz w:val="20"/>
                <w:lang w:val="en-GB"/>
              </w:rPr>
            </w:pPr>
            <w:r w:rsidRPr="00A92451">
              <w:rPr>
                <w:sz w:val="20"/>
                <w:lang w:val="en-GB"/>
              </w:rPr>
              <w:t>Unclear</w:t>
            </w:r>
          </w:p>
        </w:tc>
      </w:tr>
      <w:tr w:rsidR="003F26E4" w:rsidRPr="005C018B" w14:paraId="29E2E676" w14:textId="77777777" w:rsidTr="00A92451">
        <w:trPr>
          <w:trHeight w:val="625"/>
        </w:trPr>
        <w:tc>
          <w:tcPr>
            <w:tcW w:w="1708" w:type="dxa"/>
          </w:tcPr>
          <w:p w14:paraId="74AFEC2A" w14:textId="77777777" w:rsidR="003F26E4" w:rsidRPr="00A92451" w:rsidRDefault="003F26E4" w:rsidP="00A92451">
            <w:pPr>
              <w:rPr>
                <w:b/>
                <w:bCs/>
                <w:sz w:val="20"/>
                <w:lang w:val="en-GB"/>
              </w:rPr>
            </w:pPr>
            <w:r w:rsidRPr="00A92451">
              <w:rPr>
                <w:b/>
                <w:sz w:val="20"/>
                <w:lang w:val="en-GB"/>
              </w:rPr>
              <w:t>The Global Fund</w:t>
            </w:r>
          </w:p>
        </w:tc>
        <w:tc>
          <w:tcPr>
            <w:tcW w:w="1105" w:type="dxa"/>
          </w:tcPr>
          <w:p w14:paraId="1C03FB53" w14:textId="77777777" w:rsidR="003F26E4" w:rsidRPr="00A92451" w:rsidRDefault="003F26E4" w:rsidP="00A92451">
            <w:pPr>
              <w:rPr>
                <w:sz w:val="20"/>
                <w:lang w:val="en-GB"/>
              </w:rPr>
            </w:pPr>
            <w:r w:rsidRPr="00A92451">
              <w:rPr>
                <w:sz w:val="20"/>
                <w:lang w:val="en-GB"/>
              </w:rPr>
              <w:t>Yes, not helpful</w:t>
            </w:r>
          </w:p>
        </w:tc>
        <w:tc>
          <w:tcPr>
            <w:tcW w:w="1719" w:type="dxa"/>
          </w:tcPr>
          <w:p w14:paraId="5FCD6090" w14:textId="77777777" w:rsidR="003F26E4" w:rsidRPr="00A92451" w:rsidRDefault="003F26E4" w:rsidP="00A92451">
            <w:pPr>
              <w:rPr>
                <w:sz w:val="20"/>
                <w:lang w:val="en-GB"/>
              </w:rPr>
            </w:pPr>
            <w:r w:rsidRPr="00A92451">
              <w:rPr>
                <w:sz w:val="20"/>
                <w:lang w:val="en-GB"/>
              </w:rPr>
              <w:t>Unclear</w:t>
            </w:r>
          </w:p>
        </w:tc>
        <w:tc>
          <w:tcPr>
            <w:tcW w:w="2423" w:type="dxa"/>
          </w:tcPr>
          <w:p w14:paraId="64FE641B" w14:textId="77777777" w:rsidR="003F26E4" w:rsidRPr="00A92451" w:rsidRDefault="003F26E4" w:rsidP="00A92451">
            <w:pPr>
              <w:numPr>
                <w:ilvl w:val="0"/>
                <w:numId w:val="2"/>
              </w:numPr>
              <w:contextualSpacing/>
              <w:rPr>
                <w:sz w:val="20"/>
                <w:lang w:val="en-GB"/>
              </w:rPr>
            </w:pPr>
            <w:r w:rsidRPr="00A92451">
              <w:rPr>
                <w:sz w:val="20"/>
                <w:lang w:val="en-GB"/>
              </w:rPr>
              <w:t>Financing</w:t>
            </w:r>
          </w:p>
        </w:tc>
        <w:tc>
          <w:tcPr>
            <w:tcW w:w="2425" w:type="dxa"/>
          </w:tcPr>
          <w:p w14:paraId="0E5339F3" w14:textId="77777777" w:rsidR="003F26E4" w:rsidRPr="00A92451" w:rsidRDefault="003F26E4" w:rsidP="00A92451">
            <w:pPr>
              <w:rPr>
                <w:sz w:val="20"/>
                <w:lang w:val="en-GB"/>
              </w:rPr>
            </w:pPr>
            <w:r w:rsidRPr="00A92451">
              <w:rPr>
                <w:sz w:val="20"/>
                <w:lang w:val="en-GB"/>
              </w:rPr>
              <w:t>Unclear</w:t>
            </w:r>
          </w:p>
        </w:tc>
      </w:tr>
      <w:tr w:rsidR="003F26E4" w:rsidRPr="005C018B" w14:paraId="052BB485" w14:textId="77777777" w:rsidTr="00A92451">
        <w:trPr>
          <w:trHeight w:val="383"/>
        </w:trPr>
        <w:tc>
          <w:tcPr>
            <w:tcW w:w="1708" w:type="dxa"/>
            <w:shd w:val="clear" w:color="auto" w:fill="DAEEF3"/>
          </w:tcPr>
          <w:p w14:paraId="00B005C7" w14:textId="77777777" w:rsidR="003F26E4" w:rsidRPr="00A92451" w:rsidRDefault="003F26E4" w:rsidP="00A92451">
            <w:pPr>
              <w:rPr>
                <w:b/>
                <w:bCs/>
                <w:sz w:val="20"/>
                <w:lang w:val="en-GB"/>
              </w:rPr>
            </w:pPr>
            <w:r w:rsidRPr="00A92451">
              <w:rPr>
                <w:b/>
                <w:sz w:val="20"/>
                <w:lang w:val="en-GB"/>
              </w:rPr>
              <w:t>MSF</w:t>
            </w:r>
          </w:p>
        </w:tc>
        <w:tc>
          <w:tcPr>
            <w:tcW w:w="1105" w:type="dxa"/>
            <w:shd w:val="clear" w:color="auto" w:fill="DAEEF3"/>
          </w:tcPr>
          <w:p w14:paraId="7BDA4CA6" w14:textId="77777777" w:rsidR="003F26E4" w:rsidRPr="00A92451" w:rsidRDefault="003F26E4" w:rsidP="00A92451">
            <w:pPr>
              <w:rPr>
                <w:sz w:val="20"/>
                <w:lang w:val="en-GB"/>
              </w:rPr>
            </w:pPr>
            <w:r w:rsidRPr="00A92451">
              <w:rPr>
                <w:sz w:val="20"/>
                <w:lang w:val="en-GB"/>
              </w:rPr>
              <w:t>Yes</w:t>
            </w:r>
          </w:p>
        </w:tc>
        <w:tc>
          <w:tcPr>
            <w:tcW w:w="1719" w:type="dxa"/>
            <w:shd w:val="clear" w:color="auto" w:fill="DAEEF3"/>
          </w:tcPr>
          <w:p w14:paraId="00BB86B4" w14:textId="77777777" w:rsidR="003F26E4" w:rsidRPr="00A92451" w:rsidRDefault="003F26E4" w:rsidP="00A92451">
            <w:pPr>
              <w:rPr>
                <w:sz w:val="20"/>
                <w:lang w:val="en-GB"/>
              </w:rPr>
            </w:pPr>
            <w:r w:rsidRPr="00A92451">
              <w:rPr>
                <w:sz w:val="20"/>
                <w:lang w:val="en-GB"/>
              </w:rPr>
              <w:t>Yes</w:t>
            </w:r>
          </w:p>
        </w:tc>
        <w:tc>
          <w:tcPr>
            <w:tcW w:w="2423" w:type="dxa"/>
            <w:shd w:val="clear" w:color="auto" w:fill="DAEEF3"/>
          </w:tcPr>
          <w:p w14:paraId="352B52ED" w14:textId="77777777" w:rsidR="003F26E4" w:rsidRPr="00A92451" w:rsidRDefault="003F26E4" w:rsidP="00A92451">
            <w:pPr>
              <w:numPr>
                <w:ilvl w:val="0"/>
                <w:numId w:val="2"/>
              </w:numPr>
              <w:contextualSpacing/>
              <w:rPr>
                <w:sz w:val="20"/>
                <w:lang w:val="en-GB"/>
              </w:rPr>
            </w:pPr>
            <w:r w:rsidRPr="00A92451">
              <w:rPr>
                <w:sz w:val="20"/>
                <w:lang w:val="en-GB"/>
              </w:rPr>
              <w:t>Field work</w:t>
            </w:r>
          </w:p>
          <w:p w14:paraId="5A191607" w14:textId="77777777" w:rsidR="003F26E4" w:rsidRPr="00A92451" w:rsidRDefault="003F26E4" w:rsidP="00A92451">
            <w:pPr>
              <w:numPr>
                <w:ilvl w:val="0"/>
                <w:numId w:val="2"/>
              </w:numPr>
              <w:contextualSpacing/>
              <w:rPr>
                <w:sz w:val="20"/>
                <w:lang w:val="en-GB"/>
              </w:rPr>
            </w:pPr>
            <w:r w:rsidRPr="00A92451">
              <w:rPr>
                <w:sz w:val="20"/>
                <w:lang w:val="en-GB"/>
              </w:rPr>
              <w:t>Electronic tools</w:t>
            </w:r>
          </w:p>
          <w:p w14:paraId="0F6EFE46" w14:textId="77777777" w:rsidR="003F26E4" w:rsidRPr="00A92451" w:rsidRDefault="003F26E4" w:rsidP="00A92451">
            <w:pPr>
              <w:numPr>
                <w:ilvl w:val="0"/>
                <w:numId w:val="2"/>
              </w:numPr>
              <w:contextualSpacing/>
              <w:rPr>
                <w:sz w:val="20"/>
                <w:lang w:val="en-GB"/>
              </w:rPr>
            </w:pPr>
            <w:r w:rsidRPr="00A92451">
              <w:rPr>
                <w:sz w:val="20"/>
                <w:lang w:val="en-GB"/>
              </w:rPr>
              <w:t>Training</w:t>
            </w:r>
          </w:p>
        </w:tc>
        <w:tc>
          <w:tcPr>
            <w:tcW w:w="2425" w:type="dxa"/>
            <w:shd w:val="clear" w:color="auto" w:fill="DAEEF3"/>
          </w:tcPr>
          <w:p w14:paraId="301D78A1" w14:textId="77777777" w:rsidR="003F26E4" w:rsidRPr="00A92451" w:rsidRDefault="003F26E4" w:rsidP="00A92451">
            <w:pPr>
              <w:numPr>
                <w:ilvl w:val="0"/>
                <w:numId w:val="2"/>
              </w:numPr>
              <w:contextualSpacing/>
              <w:rPr>
                <w:sz w:val="20"/>
                <w:lang w:val="en-GB"/>
              </w:rPr>
            </w:pPr>
            <w:r w:rsidRPr="00A92451">
              <w:rPr>
                <w:sz w:val="20"/>
                <w:lang w:val="en-GB"/>
              </w:rPr>
              <w:t>MSF Clinical guidelines</w:t>
            </w:r>
          </w:p>
          <w:p w14:paraId="75A990FA" w14:textId="77777777" w:rsidR="003F26E4" w:rsidRPr="00A92451" w:rsidRDefault="003F26E4" w:rsidP="00A92451">
            <w:pPr>
              <w:numPr>
                <w:ilvl w:val="0"/>
                <w:numId w:val="2"/>
              </w:numPr>
              <w:contextualSpacing/>
              <w:rPr>
                <w:sz w:val="20"/>
                <w:lang w:val="en-GB"/>
              </w:rPr>
            </w:pPr>
            <w:r w:rsidRPr="00A92451">
              <w:rPr>
                <w:sz w:val="20"/>
                <w:lang w:val="en-GB"/>
              </w:rPr>
              <w:t>Training</w:t>
            </w:r>
          </w:p>
        </w:tc>
      </w:tr>
      <w:tr w:rsidR="003F26E4" w:rsidRPr="005C018B" w14:paraId="666081D5" w14:textId="77777777" w:rsidTr="00A92451">
        <w:trPr>
          <w:trHeight w:val="370"/>
        </w:trPr>
        <w:tc>
          <w:tcPr>
            <w:tcW w:w="1708" w:type="dxa"/>
          </w:tcPr>
          <w:p w14:paraId="78B902CB" w14:textId="77777777" w:rsidR="003F26E4" w:rsidRPr="00A92451" w:rsidRDefault="003F26E4" w:rsidP="00A92451">
            <w:pPr>
              <w:rPr>
                <w:b/>
                <w:bCs/>
                <w:sz w:val="20"/>
                <w:lang w:val="en-GB"/>
              </w:rPr>
            </w:pPr>
            <w:r w:rsidRPr="00A92451">
              <w:rPr>
                <w:b/>
                <w:sz w:val="20"/>
                <w:lang w:val="en-GB"/>
              </w:rPr>
              <w:t>SIAPS</w:t>
            </w:r>
          </w:p>
        </w:tc>
        <w:tc>
          <w:tcPr>
            <w:tcW w:w="1105" w:type="dxa"/>
          </w:tcPr>
          <w:p w14:paraId="6CAD1397" w14:textId="77777777" w:rsidR="003F26E4" w:rsidRPr="00A92451" w:rsidRDefault="003F26E4" w:rsidP="00A92451">
            <w:pPr>
              <w:rPr>
                <w:sz w:val="20"/>
                <w:lang w:val="en-GB"/>
              </w:rPr>
            </w:pPr>
            <w:r w:rsidRPr="00A92451">
              <w:rPr>
                <w:sz w:val="20"/>
                <w:lang w:val="en-GB"/>
              </w:rPr>
              <w:t>Yes</w:t>
            </w:r>
          </w:p>
        </w:tc>
        <w:tc>
          <w:tcPr>
            <w:tcW w:w="1719" w:type="dxa"/>
          </w:tcPr>
          <w:p w14:paraId="46D56CC9" w14:textId="77777777" w:rsidR="003F26E4" w:rsidRPr="00A92451" w:rsidRDefault="003F26E4" w:rsidP="00A92451">
            <w:pPr>
              <w:rPr>
                <w:sz w:val="20"/>
                <w:lang w:val="en-GB"/>
              </w:rPr>
            </w:pPr>
            <w:r w:rsidRPr="00A92451">
              <w:rPr>
                <w:sz w:val="20"/>
                <w:lang w:val="en-GB"/>
              </w:rPr>
              <w:t>Yes</w:t>
            </w:r>
          </w:p>
        </w:tc>
        <w:tc>
          <w:tcPr>
            <w:tcW w:w="2423" w:type="dxa"/>
          </w:tcPr>
          <w:p w14:paraId="04BB2846" w14:textId="77777777" w:rsidR="003F26E4" w:rsidRPr="00A92451" w:rsidRDefault="003F26E4" w:rsidP="00A92451">
            <w:pPr>
              <w:numPr>
                <w:ilvl w:val="0"/>
                <w:numId w:val="3"/>
              </w:numPr>
              <w:contextualSpacing/>
              <w:rPr>
                <w:sz w:val="20"/>
                <w:lang w:val="en-GB"/>
              </w:rPr>
            </w:pPr>
            <w:r w:rsidRPr="00A92451">
              <w:rPr>
                <w:sz w:val="20"/>
                <w:lang w:val="en-GB"/>
              </w:rPr>
              <w:t>Electronic tools</w:t>
            </w:r>
          </w:p>
          <w:p w14:paraId="1B04C353" w14:textId="77777777" w:rsidR="003F26E4" w:rsidRPr="00A92451" w:rsidRDefault="003F26E4" w:rsidP="00A92451">
            <w:pPr>
              <w:numPr>
                <w:ilvl w:val="0"/>
                <w:numId w:val="3"/>
              </w:numPr>
              <w:contextualSpacing/>
              <w:rPr>
                <w:sz w:val="20"/>
                <w:lang w:val="en-GB"/>
              </w:rPr>
            </w:pPr>
            <w:r w:rsidRPr="00A92451">
              <w:rPr>
                <w:sz w:val="20"/>
                <w:lang w:val="en-GB"/>
              </w:rPr>
              <w:t>Financing</w:t>
            </w:r>
          </w:p>
        </w:tc>
        <w:tc>
          <w:tcPr>
            <w:tcW w:w="2425" w:type="dxa"/>
          </w:tcPr>
          <w:p w14:paraId="20C5FBFB" w14:textId="77777777" w:rsidR="003F26E4" w:rsidRPr="00A92451" w:rsidRDefault="003F26E4" w:rsidP="00A92451">
            <w:pPr>
              <w:rPr>
                <w:sz w:val="20"/>
                <w:lang w:val="en-GB"/>
              </w:rPr>
            </w:pPr>
            <w:r w:rsidRPr="00A92451">
              <w:rPr>
                <w:sz w:val="20"/>
                <w:lang w:val="en-GB"/>
              </w:rPr>
              <w:t>Unclear</w:t>
            </w:r>
          </w:p>
        </w:tc>
      </w:tr>
      <w:tr w:rsidR="003F26E4" w:rsidRPr="00294658" w14:paraId="7165FE1E" w14:textId="77777777" w:rsidTr="00A92451">
        <w:trPr>
          <w:trHeight w:val="383"/>
        </w:trPr>
        <w:tc>
          <w:tcPr>
            <w:tcW w:w="1708" w:type="dxa"/>
            <w:tcBorders>
              <w:bottom w:val="nil"/>
            </w:tcBorders>
            <w:shd w:val="clear" w:color="auto" w:fill="DAEEF3"/>
          </w:tcPr>
          <w:p w14:paraId="1F61A451" w14:textId="77777777" w:rsidR="003F26E4" w:rsidRPr="00A92451" w:rsidRDefault="003F26E4" w:rsidP="00A92451">
            <w:pPr>
              <w:rPr>
                <w:b/>
                <w:bCs/>
                <w:sz w:val="20"/>
                <w:lang w:val="en-GB"/>
              </w:rPr>
            </w:pPr>
            <w:r w:rsidRPr="00A92451">
              <w:rPr>
                <w:b/>
                <w:sz w:val="20"/>
                <w:lang w:val="en-GB"/>
              </w:rPr>
              <w:t>HE</w:t>
            </w:r>
          </w:p>
        </w:tc>
        <w:tc>
          <w:tcPr>
            <w:tcW w:w="1105" w:type="dxa"/>
            <w:tcBorders>
              <w:bottom w:val="nil"/>
            </w:tcBorders>
            <w:shd w:val="clear" w:color="auto" w:fill="DAEEF3"/>
          </w:tcPr>
          <w:p w14:paraId="7FE98C64" w14:textId="77777777" w:rsidR="003F26E4" w:rsidRPr="00A92451" w:rsidRDefault="003F26E4" w:rsidP="00A92451">
            <w:pPr>
              <w:rPr>
                <w:sz w:val="20"/>
                <w:lang w:val="en-GB"/>
              </w:rPr>
            </w:pPr>
            <w:r w:rsidRPr="00A92451">
              <w:rPr>
                <w:sz w:val="20"/>
                <w:lang w:val="en-GB"/>
              </w:rPr>
              <w:t>Yes</w:t>
            </w:r>
          </w:p>
        </w:tc>
        <w:tc>
          <w:tcPr>
            <w:tcW w:w="1719" w:type="dxa"/>
            <w:tcBorders>
              <w:bottom w:val="nil"/>
            </w:tcBorders>
            <w:shd w:val="clear" w:color="auto" w:fill="DAEEF3"/>
          </w:tcPr>
          <w:p w14:paraId="3DBBD7C8" w14:textId="77777777" w:rsidR="003F26E4" w:rsidRPr="00A92451" w:rsidRDefault="003F26E4" w:rsidP="00A92451">
            <w:pPr>
              <w:rPr>
                <w:sz w:val="20"/>
                <w:lang w:val="en-GB"/>
              </w:rPr>
            </w:pPr>
            <w:r w:rsidRPr="00A92451">
              <w:rPr>
                <w:sz w:val="20"/>
                <w:lang w:val="en-GB"/>
              </w:rPr>
              <w:t>No</w:t>
            </w:r>
          </w:p>
        </w:tc>
        <w:tc>
          <w:tcPr>
            <w:tcW w:w="2423" w:type="dxa"/>
            <w:tcBorders>
              <w:bottom w:val="nil"/>
            </w:tcBorders>
            <w:shd w:val="clear" w:color="auto" w:fill="DAEEF3"/>
          </w:tcPr>
          <w:p w14:paraId="6A51EC72" w14:textId="77777777" w:rsidR="003F26E4" w:rsidRPr="00A92451" w:rsidRDefault="003F26E4" w:rsidP="00A92451">
            <w:pPr>
              <w:rPr>
                <w:sz w:val="20"/>
                <w:lang w:val="en-GB"/>
              </w:rPr>
            </w:pPr>
            <w:r w:rsidRPr="00A92451">
              <w:rPr>
                <w:sz w:val="20"/>
                <w:lang w:val="en-GB"/>
              </w:rPr>
              <w:t>-</w:t>
            </w:r>
          </w:p>
        </w:tc>
        <w:tc>
          <w:tcPr>
            <w:tcW w:w="2425" w:type="dxa"/>
            <w:tcBorders>
              <w:bottom w:val="nil"/>
            </w:tcBorders>
            <w:shd w:val="clear" w:color="auto" w:fill="DAEEF3"/>
          </w:tcPr>
          <w:p w14:paraId="63E8B49E" w14:textId="77777777" w:rsidR="003F26E4" w:rsidRPr="00A92451" w:rsidRDefault="003F26E4" w:rsidP="00A92451">
            <w:pPr>
              <w:numPr>
                <w:ilvl w:val="0"/>
                <w:numId w:val="4"/>
              </w:numPr>
              <w:contextualSpacing/>
              <w:rPr>
                <w:sz w:val="20"/>
                <w:lang w:val="en-GB"/>
              </w:rPr>
            </w:pPr>
            <w:r w:rsidRPr="00A92451">
              <w:rPr>
                <w:sz w:val="20"/>
                <w:lang w:val="en-GB"/>
              </w:rPr>
              <w:t>Awareness through applications on tablets</w:t>
            </w:r>
          </w:p>
        </w:tc>
      </w:tr>
      <w:tr w:rsidR="003F26E4" w:rsidRPr="006F44BC" w14:paraId="1994B712" w14:textId="77777777" w:rsidTr="00A92451">
        <w:trPr>
          <w:trHeight w:val="383"/>
        </w:trPr>
        <w:tc>
          <w:tcPr>
            <w:tcW w:w="1708" w:type="dxa"/>
            <w:tcBorders>
              <w:bottom w:val="nil"/>
            </w:tcBorders>
          </w:tcPr>
          <w:p w14:paraId="70D2B43D" w14:textId="77777777" w:rsidR="003F26E4" w:rsidRPr="00A92451" w:rsidRDefault="003F26E4" w:rsidP="00A92451">
            <w:pPr>
              <w:rPr>
                <w:b/>
                <w:bCs/>
                <w:sz w:val="20"/>
                <w:lang w:val="en-GB"/>
              </w:rPr>
            </w:pPr>
            <w:r w:rsidRPr="00A92451">
              <w:rPr>
                <w:b/>
                <w:bCs/>
                <w:sz w:val="20"/>
                <w:lang w:val="en-GB"/>
              </w:rPr>
              <w:t>ISMP</w:t>
            </w:r>
          </w:p>
        </w:tc>
        <w:tc>
          <w:tcPr>
            <w:tcW w:w="1105" w:type="dxa"/>
            <w:tcBorders>
              <w:bottom w:val="nil"/>
            </w:tcBorders>
          </w:tcPr>
          <w:p w14:paraId="5E59855D" w14:textId="77777777" w:rsidR="003F26E4" w:rsidRPr="00A92451" w:rsidRDefault="003F26E4" w:rsidP="00A92451">
            <w:pPr>
              <w:rPr>
                <w:sz w:val="20"/>
                <w:lang w:val="en-GB"/>
              </w:rPr>
            </w:pPr>
            <w:r w:rsidRPr="00A92451">
              <w:rPr>
                <w:sz w:val="20"/>
                <w:lang w:val="en-GB"/>
              </w:rPr>
              <w:t>No</w:t>
            </w:r>
          </w:p>
        </w:tc>
        <w:tc>
          <w:tcPr>
            <w:tcW w:w="1719" w:type="dxa"/>
            <w:tcBorders>
              <w:bottom w:val="nil"/>
            </w:tcBorders>
          </w:tcPr>
          <w:p w14:paraId="2B5E2EB5" w14:textId="77777777" w:rsidR="003F26E4" w:rsidRPr="00A92451" w:rsidRDefault="003F26E4" w:rsidP="00A92451">
            <w:pPr>
              <w:rPr>
                <w:sz w:val="20"/>
                <w:lang w:val="en-GB"/>
              </w:rPr>
            </w:pPr>
            <w:r w:rsidRPr="00A92451">
              <w:rPr>
                <w:sz w:val="20"/>
                <w:lang w:val="en-GB"/>
              </w:rPr>
              <w:t>Unclear</w:t>
            </w:r>
          </w:p>
        </w:tc>
        <w:tc>
          <w:tcPr>
            <w:tcW w:w="2423" w:type="dxa"/>
            <w:tcBorders>
              <w:bottom w:val="nil"/>
            </w:tcBorders>
          </w:tcPr>
          <w:p w14:paraId="57329B23" w14:textId="77777777" w:rsidR="003F26E4" w:rsidRPr="00A92451" w:rsidRDefault="003F26E4" w:rsidP="00A92451">
            <w:pPr>
              <w:rPr>
                <w:sz w:val="20"/>
                <w:lang w:val="en-GB"/>
              </w:rPr>
            </w:pPr>
            <w:r w:rsidRPr="00A92451">
              <w:rPr>
                <w:sz w:val="20"/>
                <w:lang w:val="en-GB"/>
              </w:rPr>
              <w:t>Unclear</w:t>
            </w:r>
          </w:p>
        </w:tc>
        <w:tc>
          <w:tcPr>
            <w:tcW w:w="2425" w:type="dxa"/>
            <w:tcBorders>
              <w:bottom w:val="nil"/>
            </w:tcBorders>
          </w:tcPr>
          <w:p w14:paraId="4B766F32" w14:textId="77777777" w:rsidR="003F26E4" w:rsidRPr="00A92451" w:rsidRDefault="003F26E4" w:rsidP="00A92451">
            <w:pPr>
              <w:contextualSpacing/>
              <w:rPr>
                <w:sz w:val="20"/>
                <w:lang w:val="en-GB"/>
              </w:rPr>
            </w:pPr>
            <w:r w:rsidRPr="00A92451">
              <w:rPr>
                <w:sz w:val="20"/>
                <w:lang w:val="en-GB"/>
              </w:rPr>
              <w:t>Unclear</w:t>
            </w:r>
          </w:p>
        </w:tc>
      </w:tr>
      <w:tr w:rsidR="003F26E4" w:rsidRPr="006F44BC" w14:paraId="087304B2" w14:textId="77777777" w:rsidTr="00A92451">
        <w:trPr>
          <w:trHeight w:val="383"/>
        </w:trPr>
        <w:tc>
          <w:tcPr>
            <w:tcW w:w="1708" w:type="dxa"/>
            <w:tcBorders>
              <w:bottom w:val="nil"/>
            </w:tcBorders>
            <w:shd w:val="clear" w:color="auto" w:fill="DAEEF3"/>
          </w:tcPr>
          <w:p w14:paraId="793FE236" w14:textId="77777777" w:rsidR="003F26E4" w:rsidRPr="00A92451" w:rsidRDefault="003F26E4" w:rsidP="00A92451">
            <w:pPr>
              <w:rPr>
                <w:b/>
                <w:bCs/>
                <w:sz w:val="20"/>
                <w:lang w:val="en-GB"/>
              </w:rPr>
            </w:pPr>
            <w:r w:rsidRPr="00A92451">
              <w:rPr>
                <w:b/>
                <w:bCs/>
                <w:sz w:val="20"/>
                <w:lang w:val="en-GB"/>
              </w:rPr>
              <w:t>AMREF Flying Doctors</w:t>
            </w:r>
          </w:p>
        </w:tc>
        <w:tc>
          <w:tcPr>
            <w:tcW w:w="1105" w:type="dxa"/>
            <w:tcBorders>
              <w:bottom w:val="nil"/>
            </w:tcBorders>
            <w:shd w:val="clear" w:color="auto" w:fill="DAEEF3"/>
          </w:tcPr>
          <w:p w14:paraId="22D6260F" w14:textId="77777777" w:rsidR="003F26E4" w:rsidRPr="00A92451" w:rsidRDefault="003F26E4" w:rsidP="00A92451">
            <w:pPr>
              <w:rPr>
                <w:sz w:val="20"/>
                <w:lang w:val="en-GB"/>
              </w:rPr>
            </w:pPr>
            <w:r w:rsidRPr="00A92451">
              <w:rPr>
                <w:sz w:val="20"/>
                <w:lang w:val="en-GB"/>
              </w:rPr>
              <w:t>No</w:t>
            </w:r>
          </w:p>
        </w:tc>
        <w:tc>
          <w:tcPr>
            <w:tcW w:w="1719" w:type="dxa"/>
            <w:tcBorders>
              <w:bottom w:val="nil"/>
            </w:tcBorders>
            <w:shd w:val="clear" w:color="auto" w:fill="DAEEF3"/>
          </w:tcPr>
          <w:p w14:paraId="0C7ECB6B" w14:textId="77777777" w:rsidR="003F26E4" w:rsidRPr="00A92451" w:rsidRDefault="003F26E4" w:rsidP="00A92451">
            <w:pPr>
              <w:rPr>
                <w:sz w:val="20"/>
                <w:lang w:val="en-GB"/>
              </w:rPr>
            </w:pPr>
            <w:r w:rsidRPr="00A92451">
              <w:rPr>
                <w:sz w:val="20"/>
                <w:lang w:val="en-GB"/>
              </w:rPr>
              <w:t>Unclear</w:t>
            </w:r>
          </w:p>
        </w:tc>
        <w:tc>
          <w:tcPr>
            <w:tcW w:w="2423" w:type="dxa"/>
            <w:tcBorders>
              <w:bottom w:val="nil"/>
            </w:tcBorders>
            <w:shd w:val="clear" w:color="auto" w:fill="DAEEF3"/>
          </w:tcPr>
          <w:p w14:paraId="774E83A9" w14:textId="77777777" w:rsidR="003F26E4" w:rsidRPr="00A92451" w:rsidRDefault="003F26E4" w:rsidP="00A92451">
            <w:pPr>
              <w:rPr>
                <w:sz w:val="20"/>
                <w:lang w:val="en-GB"/>
              </w:rPr>
            </w:pPr>
            <w:r w:rsidRPr="00A92451">
              <w:rPr>
                <w:sz w:val="20"/>
                <w:lang w:val="en-GB"/>
              </w:rPr>
              <w:t>Unclear</w:t>
            </w:r>
          </w:p>
        </w:tc>
        <w:tc>
          <w:tcPr>
            <w:tcW w:w="2425" w:type="dxa"/>
            <w:tcBorders>
              <w:bottom w:val="nil"/>
            </w:tcBorders>
            <w:shd w:val="clear" w:color="auto" w:fill="DAEEF3"/>
          </w:tcPr>
          <w:p w14:paraId="1A1DE8A7" w14:textId="77777777" w:rsidR="003F26E4" w:rsidRPr="00A92451" w:rsidRDefault="003F26E4" w:rsidP="00A92451">
            <w:pPr>
              <w:contextualSpacing/>
              <w:rPr>
                <w:sz w:val="20"/>
                <w:lang w:val="en-GB"/>
              </w:rPr>
            </w:pPr>
            <w:r w:rsidRPr="00A92451">
              <w:rPr>
                <w:sz w:val="20"/>
                <w:lang w:val="en-GB"/>
              </w:rPr>
              <w:t>Unclear</w:t>
            </w:r>
          </w:p>
        </w:tc>
      </w:tr>
      <w:tr w:rsidR="003F26E4" w:rsidRPr="006F44BC" w14:paraId="62C6D31C" w14:textId="77777777" w:rsidTr="00A92451">
        <w:trPr>
          <w:trHeight w:val="383"/>
        </w:trPr>
        <w:tc>
          <w:tcPr>
            <w:tcW w:w="1708" w:type="dxa"/>
            <w:tcBorders>
              <w:bottom w:val="nil"/>
            </w:tcBorders>
          </w:tcPr>
          <w:p w14:paraId="3F87D2B7" w14:textId="77777777" w:rsidR="003F26E4" w:rsidRPr="00A92451" w:rsidRDefault="003F26E4" w:rsidP="00A92451">
            <w:pPr>
              <w:rPr>
                <w:b/>
                <w:bCs/>
                <w:sz w:val="20"/>
                <w:lang w:val="en-GB"/>
              </w:rPr>
            </w:pPr>
            <w:proofErr w:type="spellStart"/>
            <w:r w:rsidRPr="00A92451">
              <w:rPr>
                <w:b/>
                <w:bCs/>
                <w:sz w:val="20"/>
                <w:lang w:val="en-GB"/>
              </w:rPr>
              <w:t>Aidspan</w:t>
            </w:r>
            <w:proofErr w:type="spellEnd"/>
            <w:r w:rsidRPr="00A92451">
              <w:rPr>
                <w:b/>
                <w:bCs/>
                <w:sz w:val="20"/>
                <w:lang w:val="en-GB"/>
              </w:rPr>
              <w:t>, GF Watchdog</w:t>
            </w:r>
          </w:p>
        </w:tc>
        <w:tc>
          <w:tcPr>
            <w:tcW w:w="1105" w:type="dxa"/>
            <w:tcBorders>
              <w:bottom w:val="nil"/>
            </w:tcBorders>
          </w:tcPr>
          <w:p w14:paraId="58AB9D35" w14:textId="77777777" w:rsidR="003F26E4" w:rsidRPr="00A92451" w:rsidRDefault="003F26E4" w:rsidP="00A92451">
            <w:pPr>
              <w:rPr>
                <w:sz w:val="20"/>
                <w:lang w:val="en-GB"/>
              </w:rPr>
            </w:pPr>
            <w:r w:rsidRPr="00A92451">
              <w:rPr>
                <w:sz w:val="20"/>
                <w:lang w:val="en-GB"/>
              </w:rPr>
              <w:t>No</w:t>
            </w:r>
          </w:p>
        </w:tc>
        <w:tc>
          <w:tcPr>
            <w:tcW w:w="1719" w:type="dxa"/>
            <w:tcBorders>
              <w:bottom w:val="nil"/>
            </w:tcBorders>
          </w:tcPr>
          <w:p w14:paraId="4ABAD537" w14:textId="77777777" w:rsidR="003F26E4" w:rsidRPr="00A92451" w:rsidRDefault="003F26E4" w:rsidP="00A92451">
            <w:pPr>
              <w:rPr>
                <w:sz w:val="20"/>
                <w:lang w:val="en-GB"/>
              </w:rPr>
            </w:pPr>
            <w:r w:rsidRPr="00A92451">
              <w:rPr>
                <w:sz w:val="20"/>
                <w:lang w:val="en-GB"/>
              </w:rPr>
              <w:t>Unclear</w:t>
            </w:r>
          </w:p>
        </w:tc>
        <w:tc>
          <w:tcPr>
            <w:tcW w:w="2423" w:type="dxa"/>
            <w:tcBorders>
              <w:bottom w:val="nil"/>
            </w:tcBorders>
          </w:tcPr>
          <w:p w14:paraId="7C928C73" w14:textId="77777777" w:rsidR="003F26E4" w:rsidRPr="00A92451" w:rsidRDefault="003F26E4" w:rsidP="00A92451">
            <w:pPr>
              <w:rPr>
                <w:sz w:val="20"/>
                <w:lang w:val="en-GB"/>
              </w:rPr>
            </w:pPr>
            <w:r w:rsidRPr="00A92451">
              <w:rPr>
                <w:sz w:val="20"/>
                <w:lang w:val="en-GB"/>
              </w:rPr>
              <w:t>Unclear</w:t>
            </w:r>
          </w:p>
        </w:tc>
        <w:tc>
          <w:tcPr>
            <w:tcW w:w="2425" w:type="dxa"/>
            <w:tcBorders>
              <w:bottom w:val="nil"/>
            </w:tcBorders>
          </w:tcPr>
          <w:p w14:paraId="1D230014" w14:textId="77777777" w:rsidR="003F26E4" w:rsidRPr="00A92451" w:rsidRDefault="003F26E4" w:rsidP="00A92451">
            <w:pPr>
              <w:contextualSpacing/>
              <w:rPr>
                <w:sz w:val="20"/>
                <w:lang w:val="en-GB"/>
              </w:rPr>
            </w:pPr>
            <w:r w:rsidRPr="00A92451">
              <w:rPr>
                <w:sz w:val="20"/>
                <w:lang w:val="en-GB"/>
              </w:rPr>
              <w:t>Unclear</w:t>
            </w:r>
          </w:p>
        </w:tc>
      </w:tr>
      <w:tr w:rsidR="003F26E4" w:rsidRPr="006F44BC" w14:paraId="224468E0" w14:textId="77777777" w:rsidTr="00A92451">
        <w:trPr>
          <w:trHeight w:val="383"/>
        </w:trPr>
        <w:tc>
          <w:tcPr>
            <w:tcW w:w="1708" w:type="dxa"/>
            <w:tcBorders>
              <w:bottom w:val="nil"/>
            </w:tcBorders>
            <w:shd w:val="clear" w:color="auto" w:fill="DAEEF3"/>
          </w:tcPr>
          <w:p w14:paraId="009DBCD5" w14:textId="77777777" w:rsidR="003F26E4" w:rsidRPr="00A92451" w:rsidRDefault="003F26E4" w:rsidP="00A92451">
            <w:pPr>
              <w:rPr>
                <w:b/>
                <w:bCs/>
                <w:sz w:val="20"/>
                <w:lang w:val="en-GB"/>
              </w:rPr>
            </w:pPr>
            <w:proofErr w:type="spellStart"/>
            <w:r w:rsidRPr="00A92451">
              <w:rPr>
                <w:b/>
                <w:bCs/>
                <w:sz w:val="20"/>
                <w:lang w:val="en-GB"/>
              </w:rPr>
              <w:t>Cordaid</w:t>
            </w:r>
            <w:proofErr w:type="spellEnd"/>
          </w:p>
        </w:tc>
        <w:tc>
          <w:tcPr>
            <w:tcW w:w="1105" w:type="dxa"/>
            <w:tcBorders>
              <w:bottom w:val="nil"/>
            </w:tcBorders>
            <w:shd w:val="clear" w:color="auto" w:fill="DAEEF3"/>
          </w:tcPr>
          <w:p w14:paraId="3E61DAD2" w14:textId="77777777" w:rsidR="003F26E4" w:rsidRPr="00A92451" w:rsidRDefault="003F26E4" w:rsidP="00A92451">
            <w:pPr>
              <w:rPr>
                <w:sz w:val="20"/>
                <w:lang w:val="en-GB"/>
              </w:rPr>
            </w:pPr>
            <w:r w:rsidRPr="00A92451">
              <w:rPr>
                <w:sz w:val="20"/>
                <w:lang w:val="en-GB"/>
              </w:rPr>
              <w:t>No</w:t>
            </w:r>
          </w:p>
        </w:tc>
        <w:tc>
          <w:tcPr>
            <w:tcW w:w="1719" w:type="dxa"/>
            <w:tcBorders>
              <w:bottom w:val="nil"/>
            </w:tcBorders>
            <w:shd w:val="clear" w:color="auto" w:fill="DAEEF3"/>
          </w:tcPr>
          <w:p w14:paraId="4B1480E8" w14:textId="77777777" w:rsidR="003F26E4" w:rsidRPr="00A92451" w:rsidRDefault="003F26E4" w:rsidP="00A92451">
            <w:pPr>
              <w:rPr>
                <w:sz w:val="20"/>
                <w:lang w:val="en-GB"/>
              </w:rPr>
            </w:pPr>
            <w:r w:rsidRPr="00A92451">
              <w:rPr>
                <w:sz w:val="20"/>
                <w:lang w:val="en-GB"/>
              </w:rPr>
              <w:t>Unclear</w:t>
            </w:r>
          </w:p>
        </w:tc>
        <w:tc>
          <w:tcPr>
            <w:tcW w:w="2423" w:type="dxa"/>
            <w:tcBorders>
              <w:bottom w:val="nil"/>
            </w:tcBorders>
            <w:shd w:val="clear" w:color="auto" w:fill="DAEEF3"/>
          </w:tcPr>
          <w:p w14:paraId="6CA228AF" w14:textId="77777777" w:rsidR="003F26E4" w:rsidRPr="00A92451" w:rsidRDefault="003F26E4" w:rsidP="00A92451">
            <w:pPr>
              <w:rPr>
                <w:sz w:val="20"/>
                <w:lang w:val="en-GB"/>
              </w:rPr>
            </w:pPr>
            <w:r w:rsidRPr="00A92451">
              <w:rPr>
                <w:sz w:val="20"/>
                <w:lang w:val="en-GB"/>
              </w:rPr>
              <w:t>Unclear</w:t>
            </w:r>
          </w:p>
        </w:tc>
        <w:tc>
          <w:tcPr>
            <w:tcW w:w="2425" w:type="dxa"/>
            <w:tcBorders>
              <w:bottom w:val="nil"/>
            </w:tcBorders>
            <w:shd w:val="clear" w:color="auto" w:fill="DAEEF3"/>
          </w:tcPr>
          <w:p w14:paraId="23FFAAB3" w14:textId="77777777" w:rsidR="003F26E4" w:rsidRPr="00A92451" w:rsidRDefault="003F26E4" w:rsidP="00A92451">
            <w:pPr>
              <w:contextualSpacing/>
              <w:rPr>
                <w:sz w:val="20"/>
                <w:lang w:val="en-GB"/>
              </w:rPr>
            </w:pPr>
            <w:r w:rsidRPr="00A92451">
              <w:rPr>
                <w:sz w:val="20"/>
                <w:lang w:val="en-GB"/>
              </w:rPr>
              <w:t>Unclear</w:t>
            </w:r>
          </w:p>
        </w:tc>
      </w:tr>
      <w:tr w:rsidR="003F26E4" w:rsidRPr="006F44BC" w14:paraId="29702F92" w14:textId="77777777" w:rsidTr="00A92451">
        <w:trPr>
          <w:trHeight w:val="383"/>
        </w:trPr>
        <w:tc>
          <w:tcPr>
            <w:tcW w:w="1708" w:type="dxa"/>
            <w:tcBorders>
              <w:bottom w:val="nil"/>
            </w:tcBorders>
          </w:tcPr>
          <w:p w14:paraId="357816AB" w14:textId="77777777" w:rsidR="003F26E4" w:rsidRPr="00A92451" w:rsidRDefault="003F26E4" w:rsidP="00A92451">
            <w:pPr>
              <w:rPr>
                <w:b/>
                <w:bCs/>
                <w:sz w:val="20"/>
                <w:lang w:val="en-GB"/>
              </w:rPr>
            </w:pPr>
            <w:r w:rsidRPr="00A92451">
              <w:rPr>
                <w:b/>
                <w:bCs/>
                <w:sz w:val="20"/>
                <w:lang w:val="en-GB"/>
              </w:rPr>
              <w:t>Bill and Melinda Gates Foundation</w:t>
            </w:r>
          </w:p>
        </w:tc>
        <w:tc>
          <w:tcPr>
            <w:tcW w:w="1105" w:type="dxa"/>
            <w:tcBorders>
              <w:bottom w:val="nil"/>
            </w:tcBorders>
          </w:tcPr>
          <w:p w14:paraId="5B0A67ED" w14:textId="77777777" w:rsidR="003F26E4" w:rsidRPr="00A92451" w:rsidRDefault="003F26E4" w:rsidP="00A92451">
            <w:pPr>
              <w:rPr>
                <w:sz w:val="20"/>
                <w:lang w:val="en-GB"/>
              </w:rPr>
            </w:pPr>
            <w:r w:rsidRPr="00A92451">
              <w:rPr>
                <w:sz w:val="20"/>
                <w:lang w:val="en-GB"/>
              </w:rPr>
              <w:t>No</w:t>
            </w:r>
          </w:p>
        </w:tc>
        <w:tc>
          <w:tcPr>
            <w:tcW w:w="1719" w:type="dxa"/>
            <w:tcBorders>
              <w:bottom w:val="nil"/>
            </w:tcBorders>
          </w:tcPr>
          <w:p w14:paraId="3941C5B7" w14:textId="77777777" w:rsidR="003F26E4" w:rsidRPr="00A92451" w:rsidRDefault="003F26E4" w:rsidP="00A92451">
            <w:pPr>
              <w:rPr>
                <w:sz w:val="20"/>
                <w:lang w:val="en-GB"/>
              </w:rPr>
            </w:pPr>
            <w:r w:rsidRPr="00A92451">
              <w:rPr>
                <w:sz w:val="20"/>
                <w:lang w:val="en-GB"/>
              </w:rPr>
              <w:t>Unclear</w:t>
            </w:r>
          </w:p>
        </w:tc>
        <w:tc>
          <w:tcPr>
            <w:tcW w:w="2423" w:type="dxa"/>
            <w:tcBorders>
              <w:bottom w:val="nil"/>
            </w:tcBorders>
          </w:tcPr>
          <w:p w14:paraId="2B4AD66C" w14:textId="77777777" w:rsidR="003F26E4" w:rsidRPr="00A92451" w:rsidRDefault="003F26E4" w:rsidP="00A92451">
            <w:pPr>
              <w:rPr>
                <w:sz w:val="20"/>
                <w:lang w:val="en-GB"/>
              </w:rPr>
            </w:pPr>
            <w:r w:rsidRPr="00A92451">
              <w:rPr>
                <w:sz w:val="20"/>
                <w:lang w:val="en-GB"/>
              </w:rPr>
              <w:t>Unclear</w:t>
            </w:r>
          </w:p>
        </w:tc>
        <w:tc>
          <w:tcPr>
            <w:tcW w:w="2425" w:type="dxa"/>
            <w:tcBorders>
              <w:bottom w:val="nil"/>
            </w:tcBorders>
          </w:tcPr>
          <w:p w14:paraId="7110B803" w14:textId="77777777" w:rsidR="003F26E4" w:rsidRPr="00A92451" w:rsidRDefault="003F26E4" w:rsidP="00A92451">
            <w:pPr>
              <w:contextualSpacing/>
              <w:rPr>
                <w:sz w:val="20"/>
                <w:lang w:val="en-GB"/>
              </w:rPr>
            </w:pPr>
            <w:r w:rsidRPr="00A92451">
              <w:rPr>
                <w:sz w:val="20"/>
                <w:lang w:val="en-GB"/>
              </w:rPr>
              <w:t>Unclear</w:t>
            </w:r>
          </w:p>
        </w:tc>
      </w:tr>
      <w:tr w:rsidR="003F26E4" w:rsidRPr="00294658" w14:paraId="08C8DE17" w14:textId="77777777" w:rsidTr="00A92451">
        <w:trPr>
          <w:trHeight w:val="383"/>
        </w:trPr>
        <w:tc>
          <w:tcPr>
            <w:tcW w:w="9380" w:type="dxa"/>
            <w:gridSpan w:val="5"/>
            <w:tcBorders>
              <w:top w:val="nil"/>
              <w:left w:val="nil"/>
              <w:bottom w:val="nil"/>
              <w:right w:val="nil"/>
            </w:tcBorders>
            <w:shd w:val="clear" w:color="auto" w:fill="DAEEF3"/>
          </w:tcPr>
          <w:p w14:paraId="4FDDBDD8" w14:textId="77777777" w:rsidR="003F26E4" w:rsidRPr="00A92451" w:rsidRDefault="003F26E4" w:rsidP="00A92451">
            <w:pPr>
              <w:contextualSpacing/>
              <w:rPr>
                <w:b/>
                <w:bCs/>
                <w:sz w:val="18"/>
                <w:lang w:val="en-GB"/>
              </w:rPr>
            </w:pPr>
            <w:r w:rsidRPr="00A92451">
              <w:rPr>
                <w:bCs/>
                <w:sz w:val="18"/>
                <w:lang w:val="en-GB"/>
              </w:rPr>
              <w:t xml:space="preserve">Table 1: Overview of results of the studied organisations. </w:t>
            </w:r>
          </w:p>
        </w:tc>
      </w:tr>
    </w:tbl>
    <w:p w14:paraId="1CFCCAEF" w14:textId="77777777" w:rsidR="003F26E4" w:rsidRPr="00A95F46" w:rsidRDefault="003F26E4" w:rsidP="00001572">
      <w:pPr>
        <w:jc w:val="both"/>
        <w:rPr>
          <w:rFonts w:cs="TimesNewRomanPS"/>
          <w:color w:val="231F20"/>
          <w:lang w:val="en-GB"/>
        </w:rPr>
      </w:pPr>
      <w:r w:rsidRPr="00A95F46">
        <w:rPr>
          <w:rFonts w:cs="TimesNewRomanPS"/>
          <w:color w:val="231F20"/>
          <w:lang w:val="en-GB"/>
        </w:rPr>
        <w:t>One of the WHO biggest accomplishments on medication safety is the creation of the WHO Programme for International Drug Monitoring. This programme was set up after the thalidomide tragedy and saw the appointment of the Uppsala Monitoring Centre in Sweden as WHO Collaborating Centre for Drug Monitoring to internationally collect individual case safety reports in their database ‘VigiBase™’. This database comprises of over 10 million entries, which allow the detection of potential medicinal safety hazards. [</w:t>
      </w:r>
      <w:r>
        <w:rPr>
          <w:rFonts w:cs="TimesNewRomanPS"/>
          <w:color w:val="231F20"/>
          <w:lang w:val="en-GB"/>
        </w:rPr>
        <w:t>10</w:t>
      </w:r>
      <w:r w:rsidRPr="00A95F46">
        <w:rPr>
          <w:rFonts w:cs="TimesNewRomanPS"/>
          <w:color w:val="231F20"/>
          <w:lang w:val="en-GB"/>
        </w:rPr>
        <w:t>]</w:t>
      </w:r>
    </w:p>
    <w:p w14:paraId="2901FD9B" w14:textId="77777777" w:rsidR="003F26E4" w:rsidRPr="00A95F46" w:rsidRDefault="003F26E4" w:rsidP="00001572">
      <w:pPr>
        <w:jc w:val="both"/>
        <w:rPr>
          <w:rFonts w:cs="TimesNewRomanPS"/>
          <w:color w:val="231F20"/>
          <w:lang w:val="en-GB"/>
        </w:rPr>
      </w:pPr>
      <w:r w:rsidRPr="00A95F46">
        <w:rPr>
          <w:rFonts w:cs="TimesNewRomanPS"/>
          <w:color w:val="231F20"/>
          <w:lang w:val="en-GB"/>
        </w:rPr>
        <w:t xml:space="preserve">On a more local level, the WHO has created a WHO Collaborating Centre for Advocacy and Training in </w:t>
      </w:r>
      <w:r>
        <w:rPr>
          <w:rFonts w:cs="TimesNewRomanPS"/>
          <w:color w:val="231F20"/>
          <w:lang w:val="en-GB"/>
        </w:rPr>
        <w:t>PV</w:t>
      </w:r>
      <w:r w:rsidRPr="00A95F46">
        <w:rPr>
          <w:rFonts w:cs="TimesNewRomanPS"/>
          <w:color w:val="231F20"/>
          <w:lang w:val="en-GB"/>
        </w:rPr>
        <w:t xml:space="preserve"> at the University of Ghana. This institution is focused on training healthcare professionals and supporting national </w:t>
      </w:r>
      <w:r>
        <w:rPr>
          <w:rFonts w:cs="TimesNewRomanPS"/>
          <w:color w:val="231F20"/>
          <w:lang w:val="en-GB"/>
        </w:rPr>
        <w:t>PV</w:t>
      </w:r>
      <w:r w:rsidRPr="00A95F46">
        <w:rPr>
          <w:rFonts w:cs="TimesNewRomanPS"/>
          <w:color w:val="231F20"/>
          <w:lang w:val="en-GB"/>
        </w:rPr>
        <w:t xml:space="preserve"> centres as well as performing research in </w:t>
      </w:r>
      <w:r>
        <w:rPr>
          <w:rFonts w:cs="TimesNewRomanPS"/>
          <w:color w:val="231F20"/>
          <w:lang w:val="en-GB"/>
        </w:rPr>
        <w:t>PV</w:t>
      </w:r>
      <w:r w:rsidRPr="00A95F46">
        <w:rPr>
          <w:rFonts w:cs="TimesNewRomanPS"/>
          <w:color w:val="231F20"/>
          <w:lang w:val="en-GB"/>
        </w:rPr>
        <w:t xml:space="preserve"> like cohort event m</w:t>
      </w:r>
      <w:r>
        <w:rPr>
          <w:rFonts w:cs="TimesNewRomanPS"/>
          <w:color w:val="231F20"/>
          <w:lang w:val="en-GB"/>
        </w:rPr>
        <w:t>onitoring of specific medicines</w:t>
      </w:r>
      <w:r w:rsidRPr="00A95F46">
        <w:rPr>
          <w:rFonts w:cs="TimesNewRomanPS"/>
          <w:color w:val="231F20"/>
          <w:lang w:val="en-GB"/>
        </w:rPr>
        <w:t xml:space="preserve"> [</w:t>
      </w:r>
      <w:r>
        <w:rPr>
          <w:rFonts w:cs="TimesNewRomanPS"/>
          <w:color w:val="231F20"/>
          <w:lang w:val="en-GB"/>
        </w:rPr>
        <w:t>11</w:t>
      </w:r>
      <w:r w:rsidRPr="00A95F46">
        <w:rPr>
          <w:rFonts w:cs="TimesNewRomanPS"/>
          <w:color w:val="231F20"/>
          <w:lang w:val="en-GB"/>
        </w:rPr>
        <w:t>]</w:t>
      </w:r>
      <w:r>
        <w:rPr>
          <w:rFonts w:cs="TimesNewRomanPS"/>
          <w:color w:val="231F20"/>
          <w:lang w:val="en-GB"/>
        </w:rPr>
        <w:t>. The centre has been involved in the introduction of several modules of MedSpina, a longitudinal safety data management system, into the clinical field of Ghana. It consists of software for a healthcare situation which supports patient data records and prescribing software</w:t>
      </w:r>
      <w:r w:rsidRPr="00EA4A68">
        <w:rPr>
          <w:rFonts w:cs="TimesNewRomanPS"/>
          <w:color w:val="231F20"/>
          <w:lang w:val="en-GB"/>
        </w:rPr>
        <w:t xml:space="preserve"> </w:t>
      </w:r>
      <w:r>
        <w:rPr>
          <w:rFonts w:cs="TimesNewRomanPS"/>
          <w:color w:val="231F20"/>
          <w:lang w:val="en-GB"/>
        </w:rPr>
        <w:t>[12, 13]. The intention was to improve the PC by adding health technology. However, it is not known what effect this software has had in practice.</w:t>
      </w:r>
    </w:p>
    <w:p w14:paraId="4C6AE16C" w14:textId="77777777" w:rsidR="003F26E4" w:rsidRPr="00A95F46" w:rsidRDefault="003F26E4" w:rsidP="00001572">
      <w:pPr>
        <w:pStyle w:val="Kop3"/>
        <w:jc w:val="both"/>
        <w:rPr>
          <w:lang w:val="en-GB"/>
        </w:rPr>
      </w:pPr>
      <w:r w:rsidRPr="00A95F46">
        <w:rPr>
          <w:lang w:val="en-GB"/>
        </w:rPr>
        <w:lastRenderedPageBreak/>
        <w:t>The Global Fund to Fight AIDS, Tuberculosis and Malaria (GFATM)</w:t>
      </w:r>
    </w:p>
    <w:p w14:paraId="3B56DC54" w14:textId="77777777" w:rsidR="003F26E4" w:rsidRPr="00A95F46" w:rsidRDefault="003F26E4" w:rsidP="00001572">
      <w:pPr>
        <w:jc w:val="both"/>
        <w:rPr>
          <w:lang w:val="en-GB"/>
        </w:rPr>
      </w:pPr>
      <w:r w:rsidRPr="00A95F46">
        <w:rPr>
          <w:lang w:val="en-GB"/>
        </w:rPr>
        <w:t xml:space="preserve">GFATM raises and invests resources to support programs run by local experts in countries and communities most in need. Its existence started through </w:t>
      </w:r>
      <w:r>
        <w:rPr>
          <w:lang w:val="en-GB"/>
        </w:rPr>
        <w:t xml:space="preserve">some </w:t>
      </w:r>
      <w:r w:rsidRPr="00A95F46">
        <w:rPr>
          <w:lang w:val="en-GB"/>
        </w:rPr>
        <w:t>of the Millennium Development Goals set by the United Nations at a G8 summit in 2000. As its name indicates, GFATM focuses on the three major diseases and invests the money of the largest developed nations to improve the healthcare in developing countries [</w:t>
      </w:r>
      <w:r>
        <w:rPr>
          <w:lang w:val="en-GB"/>
        </w:rPr>
        <w:t>14</w:t>
      </w:r>
      <w:r w:rsidRPr="00A95F46">
        <w:rPr>
          <w:lang w:val="en-GB"/>
        </w:rPr>
        <w:t>]. T</w:t>
      </w:r>
      <w:r w:rsidRPr="00A95F46">
        <w:rPr>
          <w:rFonts w:cs="TimesNewRomanPS"/>
          <w:color w:val="231F20"/>
          <w:lang w:val="en-GB"/>
        </w:rPr>
        <w:t>hrough process-indicators they monitor and evaluate their funded projects in order to reach pre-set goals [</w:t>
      </w:r>
      <w:r>
        <w:rPr>
          <w:rFonts w:cs="TimesNewRomanPS"/>
          <w:color w:val="231F20"/>
          <w:lang w:val="en-GB"/>
        </w:rPr>
        <w:t>15</w:t>
      </w:r>
      <w:r w:rsidRPr="00A95F46">
        <w:rPr>
          <w:rFonts w:cs="TimesNewRomanPS"/>
          <w:color w:val="231F20"/>
          <w:lang w:val="en-GB"/>
        </w:rPr>
        <w:t>]</w:t>
      </w:r>
      <w:r>
        <w:rPr>
          <w:rFonts w:cs="TimesNewRomanPS"/>
          <w:color w:val="231F20"/>
          <w:lang w:val="en-GB"/>
        </w:rPr>
        <w:t>.</w:t>
      </w:r>
    </w:p>
    <w:p w14:paraId="0E4F522B" w14:textId="77777777" w:rsidR="003F26E4" w:rsidRPr="00A95F46" w:rsidRDefault="003F26E4" w:rsidP="00001572">
      <w:pPr>
        <w:jc w:val="both"/>
        <w:rPr>
          <w:lang w:val="en-GB"/>
        </w:rPr>
      </w:pPr>
      <w:r w:rsidRPr="00A95F46">
        <w:rPr>
          <w:lang w:val="en-GB"/>
        </w:rPr>
        <w:t xml:space="preserve">Although it is described that The Global Fund has made PV a requirement since the Round 10 proposals, not much is known about how individual medication safety is put into practice. It is to be expected that due to the local nature of the proposals much variation will exist in the execution of medication safety by healthcare professionals. </w:t>
      </w:r>
    </w:p>
    <w:p w14:paraId="140FF252" w14:textId="77777777" w:rsidR="003F26E4" w:rsidRPr="00A95F46" w:rsidRDefault="003F26E4" w:rsidP="00001572">
      <w:pPr>
        <w:pStyle w:val="Kop3"/>
        <w:jc w:val="both"/>
        <w:rPr>
          <w:lang w:val="en-GB"/>
        </w:rPr>
      </w:pPr>
      <w:r w:rsidRPr="00A95F46">
        <w:rPr>
          <w:lang w:val="en-GB"/>
        </w:rPr>
        <w:t>Médecins sans frontiers (MSF)</w:t>
      </w:r>
    </w:p>
    <w:p w14:paraId="42CFFE31" w14:textId="77777777" w:rsidR="003F26E4" w:rsidRPr="00A95F46" w:rsidRDefault="003F26E4" w:rsidP="00001572">
      <w:pPr>
        <w:jc w:val="both"/>
        <w:rPr>
          <w:lang w:val="en-GB"/>
        </w:rPr>
      </w:pPr>
      <w:r>
        <w:rPr>
          <w:lang w:val="en-GB"/>
        </w:rPr>
        <w:t xml:space="preserve">Through the help of M. Serrano, section pharmacist at MSF Holland, we received information on the MSF activities and way of working. </w:t>
      </w:r>
      <w:r w:rsidRPr="00A95F46">
        <w:rPr>
          <w:lang w:val="en-GB"/>
        </w:rPr>
        <w:t xml:space="preserve">MSF works principally to assist populations caught up in humanitarian crises where there is a high level of medical need. MSF Holland (Artsen zonder Grenzen) is present in </w:t>
      </w:r>
      <w:r>
        <w:rPr>
          <w:lang w:val="en-GB"/>
        </w:rPr>
        <w:t xml:space="preserve">about </w:t>
      </w:r>
      <w:r w:rsidRPr="00A95F46">
        <w:rPr>
          <w:lang w:val="en-GB"/>
        </w:rPr>
        <w:t>23 countries.</w:t>
      </w:r>
      <w:r w:rsidRPr="005E66E6">
        <w:rPr>
          <w:color w:val="1F497D"/>
          <w:lang w:val="en-US"/>
        </w:rPr>
        <w:t xml:space="preserve"> </w:t>
      </w:r>
      <w:r w:rsidRPr="005E66E6">
        <w:rPr>
          <w:lang w:val="en-US"/>
        </w:rPr>
        <w:t>In 2015</w:t>
      </w:r>
      <w:r>
        <w:rPr>
          <w:lang w:val="en-US"/>
        </w:rPr>
        <w:t>,</w:t>
      </w:r>
      <w:r w:rsidRPr="005E66E6">
        <w:rPr>
          <w:lang w:val="en-US"/>
        </w:rPr>
        <w:t xml:space="preserve"> </w:t>
      </w:r>
      <w:r>
        <w:rPr>
          <w:lang w:val="en-US"/>
        </w:rPr>
        <w:t>it</w:t>
      </w:r>
      <w:r w:rsidRPr="005E66E6">
        <w:rPr>
          <w:lang w:val="en-US"/>
        </w:rPr>
        <w:t xml:space="preserve"> spent 34</w:t>
      </w:r>
      <w:r>
        <w:rPr>
          <w:lang w:val="en-US"/>
        </w:rPr>
        <w:t xml:space="preserve"> million euros of which roughly 50% was spent on pharmaceuticals. M</w:t>
      </w:r>
      <w:r w:rsidRPr="00A95F46">
        <w:rPr>
          <w:lang w:val="en-GB"/>
        </w:rPr>
        <w:t xml:space="preserve">SF is frequently perceived as an organization fully committed to emergencies, but the organization has very </w:t>
      </w:r>
      <w:proofErr w:type="gramStart"/>
      <w:r w:rsidRPr="00A95F46">
        <w:rPr>
          <w:lang w:val="en-GB"/>
        </w:rPr>
        <w:t>long standing</w:t>
      </w:r>
      <w:proofErr w:type="gramEnd"/>
      <w:r w:rsidRPr="00A95F46">
        <w:rPr>
          <w:lang w:val="en-GB"/>
        </w:rPr>
        <w:t xml:space="preserve"> interventions as well. Non-communicable diseases have received increased focus in recent years, like hypertension and diabetes. MSF aims to provide these treatments integrated in their programs as well. The pharmacists in MSF do various kinds of jobs, some of these comprise of approving manufacturer or supplier couples for the procurement lists; investigating markets, prices, prescription protocols, together with </w:t>
      </w:r>
      <w:r w:rsidRPr="00A95F46">
        <w:rPr>
          <w:lang w:val="en-GB"/>
        </w:rPr>
        <w:lastRenderedPageBreak/>
        <w:t>other healthcare professionals and there are periods where they do field work as well. [</w:t>
      </w:r>
      <w:r>
        <w:rPr>
          <w:lang w:val="en-GB"/>
        </w:rPr>
        <w:t>16</w:t>
      </w:r>
      <w:r w:rsidRPr="00A95F46">
        <w:rPr>
          <w:lang w:val="en-GB"/>
        </w:rPr>
        <w:t>]</w:t>
      </w:r>
    </w:p>
    <w:p w14:paraId="405785CD" w14:textId="77777777" w:rsidR="003F26E4" w:rsidRPr="00A95F46" w:rsidRDefault="003F26E4" w:rsidP="00001572">
      <w:pPr>
        <w:jc w:val="both"/>
        <w:rPr>
          <w:lang w:val="en-GB"/>
        </w:rPr>
      </w:pPr>
      <w:r w:rsidRPr="00A95F46">
        <w:rPr>
          <w:lang w:val="en-GB"/>
        </w:rPr>
        <w:t>As for medication safety during general practice, when patients are treated their data is collected in patient files to keep track of the clinical history, medical and pharmaceutical information. MSF provides standard therapeutic protocols to prescribers which take patient’s age and weight into account and are adjusted, where appropriate to national protocols. The most general is called “MSF clinical guidelines”, which is published once a year. Contra-indications and interactions are further explained in disease specific training. For instance, doctors attending training to work on anti-</w:t>
      </w:r>
      <w:proofErr w:type="spellStart"/>
      <w:r w:rsidRPr="00A95F46">
        <w:rPr>
          <w:lang w:val="en-GB"/>
        </w:rPr>
        <w:t>tuberculotic</w:t>
      </w:r>
      <w:proofErr w:type="spellEnd"/>
      <w:r w:rsidRPr="00A95F46">
        <w:rPr>
          <w:lang w:val="en-GB"/>
        </w:rPr>
        <w:t xml:space="preserve"> </w:t>
      </w:r>
      <w:proofErr w:type="spellStart"/>
      <w:r w:rsidRPr="00A95F46">
        <w:rPr>
          <w:lang w:val="en-GB"/>
        </w:rPr>
        <w:t>centers</w:t>
      </w:r>
      <w:proofErr w:type="spellEnd"/>
      <w:r w:rsidRPr="00A95F46">
        <w:rPr>
          <w:lang w:val="en-GB"/>
        </w:rPr>
        <w:t xml:space="preserve"> re-learn that rifampicin interacts with about everything. Known allergies are investigated during the clinical history, however it is often impossible to retrieve such data in the contexts where MSF works. Additionally, MSF provides field teams with updated versions of the ‘British National Formulary’. MSF also owns a formulary, a rationalized and restrictive assortment list of products, which is updated once a year with new available products and special considerations. However, MSF does not have a standard ICT system for prescribing and dispensing, as most locations rely on paper based systems to date. [</w:t>
      </w:r>
      <w:r>
        <w:rPr>
          <w:lang w:val="en-GB"/>
        </w:rPr>
        <w:t>16</w:t>
      </w:r>
      <w:r w:rsidRPr="00A95F46">
        <w:rPr>
          <w:lang w:val="en-GB"/>
        </w:rPr>
        <w:t>]</w:t>
      </w:r>
    </w:p>
    <w:p w14:paraId="78B4E7CE" w14:textId="77777777" w:rsidR="003F26E4" w:rsidRPr="00A95F46" w:rsidRDefault="003F26E4" w:rsidP="00001572">
      <w:pPr>
        <w:pStyle w:val="Kop3"/>
        <w:jc w:val="both"/>
        <w:rPr>
          <w:lang w:val="en-GB"/>
        </w:rPr>
      </w:pPr>
      <w:r w:rsidRPr="00A95F46">
        <w:rPr>
          <w:lang w:val="en-GB"/>
        </w:rPr>
        <w:t>Systems for Improved Access to Pharmaceuticals and Services (SIAPS) Program</w:t>
      </w:r>
    </w:p>
    <w:p w14:paraId="4F2DBDF9" w14:textId="77777777" w:rsidR="003F26E4" w:rsidRDefault="003F26E4" w:rsidP="00001572">
      <w:pPr>
        <w:jc w:val="both"/>
        <w:rPr>
          <w:lang w:val="en-GB"/>
        </w:rPr>
      </w:pPr>
      <w:r w:rsidRPr="00A95F46">
        <w:rPr>
          <w:lang w:val="en-GB"/>
        </w:rPr>
        <w:t>Management sciences for health (MSH) started the Strengthening Pharmaceutical Systems (SPS) Program which over time evolved into the SIAPS Program. Nowadays this program is funded by USAID and has many influential partners, such as Harvard University and the University of Washington. The SIAPS approach to pharmaceutical systems strengthening has been implemented in over 50 countries since the program began in 2011</w:t>
      </w:r>
      <w:r>
        <w:rPr>
          <w:lang w:val="en-GB"/>
        </w:rPr>
        <w:t>.</w:t>
      </w:r>
      <w:r w:rsidRPr="00A95F46">
        <w:rPr>
          <w:lang w:val="en-GB"/>
        </w:rPr>
        <w:t xml:space="preserve"> [</w:t>
      </w:r>
      <w:r>
        <w:rPr>
          <w:lang w:val="en-GB"/>
        </w:rPr>
        <w:t>17</w:t>
      </w:r>
      <w:r w:rsidRPr="00A95F46">
        <w:rPr>
          <w:lang w:val="en-GB"/>
        </w:rPr>
        <w:t xml:space="preserve">] </w:t>
      </w:r>
    </w:p>
    <w:p w14:paraId="28DDE847" w14:textId="77777777" w:rsidR="003F26E4" w:rsidRDefault="003F26E4" w:rsidP="00001572">
      <w:pPr>
        <w:jc w:val="both"/>
        <w:rPr>
          <w:lang w:val="en-GB"/>
        </w:rPr>
      </w:pPr>
      <w:r w:rsidRPr="00A95F46">
        <w:rPr>
          <w:lang w:val="en-GB"/>
        </w:rPr>
        <w:t xml:space="preserve">The program enhances countries’ capacity to procure and distribute high-quality medicines </w:t>
      </w:r>
      <w:r w:rsidRPr="00A95F46">
        <w:rPr>
          <w:lang w:val="en-GB"/>
        </w:rPr>
        <w:lastRenderedPageBreak/>
        <w:t xml:space="preserve">and health technologies, but also works with local partners to develop strong systems for health financing, human resources, governance, information, service </w:t>
      </w:r>
      <w:r>
        <w:rPr>
          <w:lang w:val="en-GB"/>
        </w:rPr>
        <w:t xml:space="preserve">delivery, and PV </w:t>
      </w:r>
      <w:r w:rsidRPr="00A95F46">
        <w:rPr>
          <w:lang w:val="en-GB"/>
        </w:rPr>
        <w:t>[</w:t>
      </w:r>
      <w:r>
        <w:rPr>
          <w:lang w:val="en-GB"/>
        </w:rPr>
        <w:t>18</w:t>
      </w:r>
      <w:r w:rsidRPr="00A95F46">
        <w:rPr>
          <w:lang w:val="en-GB"/>
        </w:rPr>
        <w:t>]</w:t>
      </w:r>
      <w:r>
        <w:rPr>
          <w:lang w:val="en-GB"/>
        </w:rPr>
        <w:t>.</w:t>
      </w:r>
      <w:r w:rsidRPr="00A95F46">
        <w:rPr>
          <w:lang w:val="en-GB"/>
        </w:rPr>
        <w:t xml:space="preserve"> By promoting local ownership of wide-ranging initiatives, stronger, more sustainable health systems overall are fostered. As part of this, they have developed several electronic tools, such as an electronic dispensing tool (EDT) and a web-based application for PV data capturing (PViMS). Other applications consist of disease-specific software (e-TB manager, QuanTB) or for quantification and distribution purposes (Quantimed, RxSolution) [</w:t>
      </w:r>
      <w:r>
        <w:rPr>
          <w:lang w:val="en-GB"/>
        </w:rPr>
        <w:t>19</w:t>
      </w:r>
      <w:r w:rsidRPr="00A95F46">
        <w:rPr>
          <w:lang w:val="en-GB"/>
        </w:rPr>
        <w:t>].</w:t>
      </w:r>
      <w:r>
        <w:rPr>
          <w:lang w:val="en-GB"/>
        </w:rPr>
        <w:t xml:space="preserve"> RxSolution is a tool on which a small facility or hospital could function in order to manage patient information, appointments, prescribing, ordering and dispensing. New modules could be added to support prescribing decisions.</w:t>
      </w:r>
    </w:p>
    <w:p w14:paraId="6424B811" w14:textId="77777777" w:rsidR="003F26E4" w:rsidRPr="00A95F46" w:rsidRDefault="003F26E4" w:rsidP="00001572">
      <w:pPr>
        <w:jc w:val="both"/>
        <w:rPr>
          <w:lang w:val="en-GB"/>
        </w:rPr>
      </w:pPr>
      <w:r>
        <w:rPr>
          <w:lang w:val="en-GB"/>
        </w:rPr>
        <w:t>SIAPS focuses</w:t>
      </w:r>
      <w:r w:rsidRPr="00A95F46">
        <w:rPr>
          <w:lang w:val="en-GB"/>
        </w:rPr>
        <w:t xml:space="preserve"> on improving pharmaceutical systems,</w:t>
      </w:r>
      <w:r>
        <w:rPr>
          <w:lang w:val="en-GB"/>
        </w:rPr>
        <w:t xml:space="preserve"> mostly through sponsors who determine the needs of the systems to be implemented. Therefore, they don’t have a generic approach to work on individual medication safety</w:t>
      </w:r>
      <w:r w:rsidRPr="00A95F46">
        <w:rPr>
          <w:lang w:val="en-GB"/>
        </w:rPr>
        <w:t xml:space="preserve">. They are however actively working on setting up </w:t>
      </w:r>
      <w:r>
        <w:rPr>
          <w:lang w:val="en-GB"/>
        </w:rPr>
        <w:t>PV</w:t>
      </w:r>
      <w:r w:rsidRPr="00A95F46">
        <w:rPr>
          <w:lang w:val="en-GB"/>
        </w:rPr>
        <w:t xml:space="preserve"> systems in countries and developing a </w:t>
      </w:r>
      <w:r>
        <w:rPr>
          <w:lang w:val="en-GB"/>
        </w:rPr>
        <w:t>PV</w:t>
      </w:r>
      <w:r w:rsidRPr="00A95F46">
        <w:rPr>
          <w:lang w:val="en-GB"/>
        </w:rPr>
        <w:t xml:space="preserve"> automated information system (PAIS) to be used in </w:t>
      </w:r>
      <w:r>
        <w:rPr>
          <w:lang w:val="en-GB"/>
        </w:rPr>
        <w:t>PV</w:t>
      </w:r>
      <w:r w:rsidRPr="00A95F46">
        <w:rPr>
          <w:lang w:val="en-GB"/>
        </w:rPr>
        <w:t xml:space="preserve"> centres </w:t>
      </w:r>
      <w:r>
        <w:rPr>
          <w:lang w:val="en-GB"/>
        </w:rPr>
        <w:t xml:space="preserve">to manage the data entries </w:t>
      </w:r>
      <w:r w:rsidRPr="00A95F46">
        <w:rPr>
          <w:lang w:val="en-GB"/>
        </w:rPr>
        <w:t>[</w:t>
      </w:r>
      <w:r>
        <w:rPr>
          <w:lang w:val="en-GB"/>
        </w:rPr>
        <w:t>17</w:t>
      </w:r>
      <w:r w:rsidRPr="00A95F46">
        <w:rPr>
          <w:lang w:val="en-GB"/>
        </w:rPr>
        <w:t>].</w:t>
      </w:r>
    </w:p>
    <w:p w14:paraId="6FB660EE" w14:textId="77777777" w:rsidR="003F26E4" w:rsidRPr="00A95F46" w:rsidRDefault="003F26E4" w:rsidP="00001572">
      <w:pPr>
        <w:pStyle w:val="Kop3"/>
        <w:jc w:val="both"/>
        <w:rPr>
          <w:lang w:val="en-GB"/>
        </w:rPr>
      </w:pPr>
      <w:r w:rsidRPr="00A95F46">
        <w:rPr>
          <w:lang w:val="en-GB"/>
        </w:rPr>
        <w:t>Healthy Entrepreneurs (HE)</w:t>
      </w:r>
    </w:p>
    <w:p w14:paraId="42B174DC" w14:textId="77777777" w:rsidR="003F26E4" w:rsidRPr="00A95F46" w:rsidRDefault="003F26E4" w:rsidP="00001572">
      <w:pPr>
        <w:jc w:val="both"/>
        <w:rPr>
          <w:rFonts w:cs="TimesNewRomanPS"/>
          <w:color w:val="231F20"/>
          <w:lang w:val="en-GB"/>
        </w:rPr>
      </w:pPr>
      <w:r w:rsidRPr="00A95F46">
        <w:rPr>
          <w:lang w:val="en-GB"/>
        </w:rPr>
        <w:t xml:space="preserve">HE is a small business set up by two Dutch businessmen who apply a financially sustainable micro-franchise formula to a network of local entrepreneurs. Their aim is to reach and provide basic care to people in remote villages whom are isolated from standard care and are often not included in major vertical medication programmes. HE works with micro entrepreneurs who offer essential health products, like painkillers, contraceptives, sanitary pads, antibiotics, soap, vitamins and health information. They have set up an education application on tablets to raise awareness people about topics such as sexual and reproductive health, nutrition and hygiene. Some of the medication </w:t>
      </w:r>
      <w:r w:rsidRPr="00A95F46">
        <w:rPr>
          <w:lang w:val="en-GB"/>
        </w:rPr>
        <w:lastRenderedPageBreak/>
        <w:t xml:space="preserve">requires a prescription, </w:t>
      </w:r>
      <w:r>
        <w:rPr>
          <w:lang w:val="en-GB"/>
        </w:rPr>
        <w:t xml:space="preserve">through use of </w:t>
      </w:r>
      <w:r w:rsidRPr="00A95F46">
        <w:rPr>
          <w:lang w:val="en-GB"/>
        </w:rPr>
        <w:t>the tablet information</w:t>
      </w:r>
      <w:r>
        <w:rPr>
          <w:lang w:val="en-GB"/>
        </w:rPr>
        <w:t xml:space="preserve"> is supplied</w:t>
      </w:r>
      <w:r w:rsidRPr="00A95F46">
        <w:rPr>
          <w:lang w:val="en-GB"/>
        </w:rPr>
        <w:t xml:space="preserve"> about </w:t>
      </w:r>
      <w:r>
        <w:rPr>
          <w:lang w:val="en-GB"/>
        </w:rPr>
        <w:t>correct dosing</w:t>
      </w:r>
      <w:r w:rsidRPr="00A95F46">
        <w:rPr>
          <w:lang w:val="en-GB"/>
        </w:rPr>
        <w:t>. HE is focused on logistics and therefore does not provide information about medication safety. The entrepreneurs are not pharmacists, although HE has national pharmacists employed in the areas where they are active. [</w:t>
      </w:r>
      <w:r>
        <w:rPr>
          <w:lang w:val="en-GB"/>
        </w:rPr>
        <w:t>20</w:t>
      </w:r>
      <w:r w:rsidRPr="00A95F46">
        <w:rPr>
          <w:lang w:val="en-GB"/>
        </w:rPr>
        <w:t>]</w:t>
      </w:r>
    </w:p>
    <w:p w14:paraId="2CDCF311" w14:textId="77777777" w:rsidR="003F26E4" w:rsidRPr="00A95F46" w:rsidRDefault="003F26E4" w:rsidP="00001572">
      <w:pPr>
        <w:pStyle w:val="Kop2"/>
        <w:jc w:val="both"/>
        <w:rPr>
          <w:lang w:val="en-GB"/>
        </w:rPr>
      </w:pPr>
      <w:r w:rsidRPr="00A95F46">
        <w:rPr>
          <w:lang w:val="en-GB"/>
        </w:rPr>
        <w:t>Discussion</w:t>
      </w:r>
    </w:p>
    <w:p w14:paraId="3365902B" w14:textId="77777777" w:rsidR="003F26E4" w:rsidRPr="00A95F46" w:rsidRDefault="003F26E4" w:rsidP="00001572">
      <w:pPr>
        <w:jc w:val="both"/>
        <w:rPr>
          <w:rFonts w:cs="TimesNewRomanPS"/>
          <w:color w:val="231F20"/>
          <w:lang w:val="en-GB"/>
        </w:rPr>
      </w:pPr>
      <w:r w:rsidRPr="00A95F46">
        <w:rPr>
          <w:rFonts w:cs="TimesNewRomanPS"/>
          <w:color w:val="231F20"/>
          <w:lang w:val="en-GB"/>
        </w:rPr>
        <w:t xml:space="preserve">The WHO is heavily active in the area of </w:t>
      </w:r>
      <w:r>
        <w:rPr>
          <w:rFonts w:cs="TimesNewRomanPS"/>
          <w:color w:val="231F20"/>
          <w:lang w:val="en-GB"/>
        </w:rPr>
        <w:t>PV</w:t>
      </w:r>
      <w:r w:rsidRPr="00A95F46">
        <w:rPr>
          <w:rFonts w:cs="TimesNewRomanPS"/>
          <w:color w:val="231F20"/>
          <w:lang w:val="en-GB"/>
        </w:rPr>
        <w:t xml:space="preserve"> through their International Drug Monitoring Programme. Health care professionals get trained to help improve PV reporting. Yet it is not known if the WHO directly acts on medication errors through training pharmacists to perform proper </w:t>
      </w:r>
      <w:r>
        <w:rPr>
          <w:rFonts w:cs="TimesNewRomanPS"/>
          <w:color w:val="231F20"/>
          <w:lang w:val="en-GB"/>
        </w:rPr>
        <w:t>PC</w:t>
      </w:r>
      <w:r w:rsidRPr="00A95F46">
        <w:rPr>
          <w:rFonts w:cs="TimesNewRomanPS"/>
          <w:color w:val="231F20"/>
          <w:lang w:val="en-GB"/>
        </w:rPr>
        <w:t xml:space="preserve">. Analysing </w:t>
      </w:r>
      <w:r>
        <w:rPr>
          <w:rFonts w:cs="TimesNewRomanPS"/>
          <w:color w:val="231F20"/>
          <w:lang w:val="en-GB"/>
        </w:rPr>
        <w:t>PV</w:t>
      </w:r>
      <w:r w:rsidRPr="00A95F46">
        <w:rPr>
          <w:rFonts w:cs="TimesNewRomanPS"/>
          <w:color w:val="231F20"/>
          <w:lang w:val="en-GB"/>
        </w:rPr>
        <w:t xml:space="preserve"> data is one step to improve medication safety through rational use of medicine and setting up standards and policies. The other is to improve the practice, although this might be harder to measure through indicators. Efforts have been made to include heal</w:t>
      </w:r>
      <w:r>
        <w:rPr>
          <w:rFonts w:cs="TimesNewRomanPS"/>
          <w:color w:val="231F20"/>
          <w:lang w:val="en-GB"/>
        </w:rPr>
        <w:t>th technology to this cause, such as MedS</w:t>
      </w:r>
      <w:r w:rsidRPr="00A95F46">
        <w:rPr>
          <w:rFonts w:cs="TimesNewRomanPS"/>
          <w:color w:val="231F20"/>
          <w:lang w:val="en-GB"/>
        </w:rPr>
        <w:t>pina and the electronic tools of the SIAPS programme.</w:t>
      </w:r>
    </w:p>
    <w:p w14:paraId="5A5895EA" w14:textId="77777777" w:rsidR="003F26E4" w:rsidRPr="00A95F46" w:rsidRDefault="003F26E4" w:rsidP="00001572">
      <w:pPr>
        <w:jc w:val="both"/>
        <w:rPr>
          <w:rFonts w:cs="TimesNewRomanPS"/>
          <w:color w:val="231F20"/>
          <w:lang w:val="en-GB"/>
        </w:rPr>
      </w:pPr>
      <w:r>
        <w:rPr>
          <w:rFonts w:cs="TimesNewRomanPS"/>
          <w:color w:val="231F20"/>
          <w:lang w:val="en-GB"/>
        </w:rPr>
        <w:t>Funded v</w:t>
      </w:r>
      <w:r w:rsidRPr="00A95F46">
        <w:rPr>
          <w:rFonts w:cs="TimesNewRomanPS"/>
          <w:color w:val="231F20"/>
          <w:lang w:val="en-GB"/>
        </w:rPr>
        <w:t>ertical medication programs</w:t>
      </w:r>
      <w:r>
        <w:rPr>
          <w:rFonts w:cs="TimesNewRomanPS"/>
          <w:color w:val="231F20"/>
          <w:lang w:val="en-GB"/>
        </w:rPr>
        <w:t xml:space="preserve"> by the WHO or The Global Fund</w:t>
      </w:r>
      <w:r w:rsidRPr="00A95F46">
        <w:rPr>
          <w:rFonts w:cs="TimesNewRomanPS"/>
          <w:color w:val="231F20"/>
          <w:lang w:val="en-GB"/>
        </w:rPr>
        <w:t xml:space="preserve"> focus on one disease and therefore only provide medication safety for the respective medicines. Next to this, it is not clear if pharmacists (or other medical professionals) perform </w:t>
      </w:r>
      <w:r>
        <w:rPr>
          <w:rFonts w:cs="TimesNewRomanPS"/>
          <w:color w:val="231F20"/>
          <w:lang w:val="en-GB"/>
        </w:rPr>
        <w:t>PC</w:t>
      </w:r>
      <w:r w:rsidRPr="00A95F46">
        <w:rPr>
          <w:rFonts w:cs="TimesNewRomanPS"/>
          <w:color w:val="231F20"/>
          <w:lang w:val="en-GB"/>
        </w:rPr>
        <w:t xml:space="preserve"> as in checking dosages, </w:t>
      </w:r>
      <w:r>
        <w:rPr>
          <w:rFonts w:cs="TimesNewRomanPS"/>
          <w:color w:val="231F20"/>
          <w:lang w:val="en-GB"/>
        </w:rPr>
        <w:t xml:space="preserve">interactions, </w:t>
      </w:r>
      <w:r w:rsidRPr="00A95F46">
        <w:rPr>
          <w:rFonts w:cs="TimesNewRomanPS"/>
          <w:color w:val="231F20"/>
          <w:lang w:val="en-GB"/>
        </w:rPr>
        <w:t xml:space="preserve">contra-indications, allergies, conform to prescribing guidelines and more activities. The focus in most </w:t>
      </w:r>
      <w:r>
        <w:rPr>
          <w:rFonts w:cs="TimesNewRomanPS"/>
          <w:color w:val="231F20"/>
          <w:lang w:val="en-GB"/>
        </w:rPr>
        <w:t>PHP</w:t>
      </w:r>
      <w:r w:rsidRPr="00A95F46">
        <w:rPr>
          <w:rFonts w:cs="TimesNewRomanPS"/>
          <w:color w:val="231F20"/>
          <w:lang w:val="en-GB"/>
        </w:rPr>
        <w:t>s still seems to be focused on logistics, to reach the patients in order to be able to treat them.</w:t>
      </w:r>
      <w:r>
        <w:rPr>
          <w:rFonts w:cs="TimesNewRomanPS"/>
          <w:color w:val="231F20"/>
          <w:lang w:val="en-GB"/>
        </w:rPr>
        <w:t xml:space="preserve"> Another option is that there could be a severe underreporting of PC efforts in developing countries in scientific literature. Just like PV at first, PC might be seen as a luxury, affordable only in the developed world. However, proper PC by pharmacists fuelled by knowledge and tools might save more lives than one could imagine.</w:t>
      </w:r>
    </w:p>
    <w:p w14:paraId="137C191D" w14:textId="77777777" w:rsidR="003F26E4" w:rsidRPr="00A95F46" w:rsidRDefault="003F26E4" w:rsidP="00001572">
      <w:pPr>
        <w:jc w:val="both"/>
        <w:rPr>
          <w:rFonts w:cs="TimesNewRomanPS"/>
          <w:color w:val="231F20"/>
          <w:lang w:val="en-GB"/>
        </w:rPr>
      </w:pPr>
      <w:r w:rsidRPr="00A95F46">
        <w:rPr>
          <w:rFonts w:cs="TimesNewRomanPS"/>
          <w:color w:val="231F20"/>
          <w:lang w:val="en-GB"/>
        </w:rPr>
        <w:t xml:space="preserve">Despite being started up in many countries by medical professionals, national </w:t>
      </w:r>
      <w:r>
        <w:rPr>
          <w:rFonts w:cs="TimesNewRomanPS"/>
          <w:color w:val="231F20"/>
          <w:lang w:val="en-GB"/>
        </w:rPr>
        <w:t>PV</w:t>
      </w:r>
      <w:r w:rsidRPr="00A95F46">
        <w:rPr>
          <w:rFonts w:cs="TimesNewRomanPS"/>
          <w:color w:val="231F20"/>
          <w:lang w:val="en-GB"/>
        </w:rPr>
        <w:t xml:space="preserve"> centres currently lack the resources and staff to </w:t>
      </w:r>
      <w:r w:rsidRPr="00A95F46">
        <w:rPr>
          <w:rFonts w:cs="TimesNewRomanPS"/>
          <w:color w:val="231F20"/>
          <w:lang w:val="en-GB"/>
        </w:rPr>
        <w:lastRenderedPageBreak/>
        <w:t xml:space="preserve">function normally. The efforts that are put in setting up PV programs in </w:t>
      </w:r>
      <w:r>
        <w:rPr>
          <w:rFonts w:cs="TimesNewRomanPS"/>
          <w:color w:val="231F20"/>
          <w:lang w:val="en-GB"/>
        </w:rPr>
        <w:t>PHP</w:t>
      </w:r>
      <w:r w:rsidRPr="00A95F46">
        <w:rPr>
          <w:rFonts w:cs="TimesNewRomanPS"/>
          <w:color w:val="231F20"/>
          <w:lang w:val="en-GB"/>
        </w:rPr>
        <w:t xml:space="preserve">s could be integrated into national </w:t>
      </w:r>
      <w:r>
        <w:rPr>
          <w:rFonts w:cs="TimesNewRomanPS"/>
          <w:color w:val="231F20"/>
          <w:lang w:val="en-GB"/>
        </w:rPr>
        <w:t>PV</w:t>
      </w:r>
      <w:r w:rsidRPr="00A95F46">
        <w:rPr>
          <w:rFonts w:cs="TimesNewRomanPS"/>
          <w:color w:val="231F20"/>
          <w:lang w:val="en-GB"/>
        </w:rPr>
        <w:t xml:space="preserve"> centres to support the development of </w:t>
      </w:r>
      <w:r>
        <w:rPr>
          <w:rFonts w:cs="TimesNewRomanPS"/>
          <w:color w:val="231F20"/>
          <w:lang w:val="en-GB"/>
        </w:rPr>
        <w:t>PV</w:t>
      </w:r>
      <w:r w:rsidRPr="00A95F46">
        <w:rPr>
          <w:rFonts w:cs="TimesNewRomanPS"/>
          <w:color w:val="231F20"/>
          <w:lang w:val="en-GB"/>
        </w:rPr>
        <w:t xml:space="preserve"> and eventually individual medication safety in the long run. A shift of efforts towards national or regional PV centres is of great importance to cover these issues in the near future.</w:t>
      </w:r>
    </w:p>
    <w:p w14:paraId="1ADC1E9E" w14:textId="77777777" w:rsidR="003F26E4" w:rsidRPr="00A95F46" w:rsidRDefault="003F26E4" w:rsidP="00001572">
      <w:pPr>
        <w:jc w:val="both"/>
        <w:rPr>
          <w:rFonts w:cs="TimesNewRomanPS"/>
          <w:color w:val="231F20"/>
          <w:lang w:val="en-GB"/>
        </w:rPr>
      </w:pPr>
      <w:r w:rsidRPr="00A95F46">
        <w:rPr>
          <w:rFonts w:cs="TimesNewRomanPS"/>
          <w:color w:val="231F20"/>
          <w:lang w:val="en-GB"/>
        </w:rPr>
        <w:t>Another point is the use of electronic prescribing tools and other supporting software for healthcare purposes. The SIAPS programme is one program that has started developing and spreading electronic tools to aid local healthcare. Many of these tools ar</w:t>
      </w:r>
      <w:r>
        <w:rPr>
          <w:rFonts w:cs="TimesNewRomanPS"/>
          <w:color w:val="231F20"/>
          <w:lang w:val="en-GB"/>
        </w:rPr>
        <w:t>e focused on the distribution,</w:t>
      </w:r>
      <w:r w:rsidRPr="00A95F46">
        <w:rPr>
          <w:rFonts w:cs="TimesNewRomanPS"/>
          <w:color w:val="231F20"/>
          <w:lang w:val="en-GB"/>
        </w:rPr>
        <w:t xml:space="preserve"> logistics</w:t>
      </w:r>
      <w:r>
        <w:rPr>
          <w:rFonts w:cs="TimesNewRomanPS"/>
          <w:color w:val="231F20"/>
          <w:lang w:val="en-GB"/>
        </w:rPr>
        <w:t xml:space="preserve"> and patient management, while one performs basic pharmaceutical care (e-TB manager)</w:t>
      </w:r>
      <w:r w:rsidRPr="00E169CF">
        <w:rPr>
          <w:rStyle w:val="Verwijzingopmerking"/>
          <w:lang w:val="en-US"/>
        </w:rPr>
        <w:t>.</w:t>
      </w:r>
      <w:r w:rsidRPr="00A95F46">
        <w:rPr>
          <w:rFonts w:cs="TimesNewRomanPS"/>
          <w:color w:val="231F20"/>
          <w:lang w:val="en-GB"/>
        </w:rPr>
        <w:t xml:space="preserve"> </w:t>
      </w:r>
      <w:r>
        <w:rPr>
          <w:rFonts w:cs="TimesNewRomanPS"/>
          <w:color w:val="231F20"/>
          <w:lang w:val="en-GB"/>
        </w:rPr>
        <w:t>PViMS is a tool which they created to collect PV data. Another company consisting of staff of the WHO Collaborating Centre in Ghana</w:t>
      </w:r>
      <w:r w:rsidRPr="00220F4C">
        <w:rPr>
          <w:rFonts w:cs="TimesNewRomanPS"/>
          <w:color w:val="231F20"/>
          <w:lang w:val="en-GB"/>
        </w:rPr>
        <w:t xml:space="preserve"> </w:t>
      </w:r>
      <w:r>
        <w:rPr>
          <w:rFonts w:cs="TimesNewRomanPS"/>
          <w:color w:val="231F20"/>
          <w:lang w:val="en-GB"/>
        </w:rPr>
        <w:t>created an electronic pharmaceutical system called MedSpina. Software like MedSpina is exciting because it consists of several functions combined into one system, such as patient records, logistics, management and prescribing tools. Health technology is a helpful tool in improving medication safety through advancements, like addition of decision-supporting prescribing software.</w:t>
      </w:r>
    </w:p>
    <w:p w14:paraId="098F45E7" w14:textId="77777777" w:rsidR="003F26E4" w:rsidRPr="00A95F46" w:rsidRDefault="003F26E4" w:rsidP="00001572">
      <w:pPr>
        <w:jc w:val="both"/>
        <w:rPr>
          <w:rFonts w:cs="TimesNewRomanPS"/>
          <w:color w:val="231F20"/>
          <w:lang w:val="en-GB"/>
        </w:rPr>
      </w:pPr>
      <w:r>
        <w:rPr>
          <w:rFonts w:cs="TimesNewRomanPS"/>
          <w:color w:val="231F20"/>
          <w:lang w:val="en-GB"/>
        </w:rPr>
        <w:t>Most</w:t>
      </w:r>
      <w:r w:rsidRPr="00A95F46">
        <w:rPr>
          <w:rFonts w:cs="TimesNewRomanPS"/>
          <w:color w:val="231F20"/>
          <w:lang w:val="en-GB"/>
        </w:rPr>
        <w:t xml:space="preserve"> organizations seem hesitant in releasing any information</w:t>
      </w:r>
      <w:r>
        <w:rPr>
          <w:rFonts w:cs="TimesNewRomanPS"/>
          <w:color w:val="231F20"/>
          <w:lang w:val="en-GB"/>
        </w:rPr>
        <w:t xml:space="preserve"> about medication safety</w:t>
      </w:r>
      <w:r w:rsidRPr="00A95F46">
        <w:rPr>
          <w:rFonts w:cs="TimesNewRomanPS"/>
          <w:color w:val="231F20"/>
          <w:lang w:val="en-GB"/>
        </w:rPr>
        <w:t xml:space="preserve"> not described on the websites. </w:t>
      </w:r>
      <w:r>
        <w:rPr>
          <w:rFonts w:cs="TimesNewRomanPS"/>
          <w:color w:val="231F20"/>
          <w:lang w:val="en-GB"/>
        </w:rPr>
        <w:t xml:space="preserve"> Nor do they respond to e-mails when asked about the topic. </w:t>
      </w:r>
      <w:r w:rsidRPr="00A95F46">
        <w:rPr>
          <w:rFonts w:cs="TimesNewRomanPS"/>
          <w:color w:val="231F20"/>
          <w:lang w:val="en-GB"/>
        </w:rPr>
        <w:t>Therefore, it has proven to be somewhat of a struggle, in the given time frame, for an outsider to perform a proper analysis of the current situation</w:t>
      </w:r>
      <w:r>
        <w:rPr>
          <w:rFonts w:cs="TimesNewRomanPS"/>
          <w:color w:val="231F20"/>
          <w:lang w:val="en-GB"/>
        </w:rPr>
        <w:t xml:space="preserve"> of medication safety in donor-sponsored PHPs</w:t>
      </w:r>
      <w:r w:rsidRPr="00A95F46">
        <w:rPr>
          <w:rFonts w:cs="TimesNewRomanPS"/>
          <w:color w:val="231F20"/>
          <w:lang w:val="en-GB"/>
        </w:rPr>
        <w:t xml:space="preserve">. </w:t>
      </w:r>
      <w:r>
        <w:rPr>
          <w:rFonts w:cs="TimesNewRomanPS"/>
          <w:color w:val="231F20"/>
          <w:lang w:val="en-GB"/>
        </w:rPr>
        <w:t xml:space="preserve">There is not much scientific literature </w:t>
      </w:r>
      <w:r w:rsidRPr="00A95F46">
        <w:rPr>
          <w:rFonts w:cs="TimesNewRomanPS"/>
          <w:color w:val="231F20"/>
          <w:lang w:val="en-GB"/>
        </w:rPr>
        <w:t xml:space="preserve">available on the topic of </w:t>
      </w:r>
      <w:r>
        <w:rPr>
          <w:rFonts w:cs="TimesNewRomanPS"/>
          <w:color w:val="231F20"/>
          <w:lang w:val="en-GB"/>
        </w:rPr>
        <w:t xml:space="preserve">practical </w:t>
      </w:r>
      <w:r w:rsidRPr="00A95F46">
        <w:rPr>
          <w:rFonts w:cs="TimesNewRomanPS"/>
          <w:color w:val="231F20"/>
          <w:lang w:val="en-GB"/>
        </w:rPr>
        <w:t>medicati</w:t>
      </w:r>
      <w:r>
        <w:rPr>
          <w:rFonts w:cs="TimesNewRomanPS"/>
          <w:color w:val="231F20"/>
          <w:lang w:val="en-GB"/>
        </w:rPr>
        <w:t xml:space="preserve">on safety </w:t>
      </w:r>
      <w:r w:rsidRPr="00A95F46">
        <w:rPr>
          <w:rFonts w:cs="TimesNewRomanPS"/>
          <w:color w:val="231F20"/>
          <w:lang w:val="en-GB"/>
        </w:rPr>
        <w:t>in developing countries.</w:t>
      </w:r>
      <w:r>
        <w:rPr>
          <w:rFonts w:cs="TimesNewRomanPS"/>
          <w:color w:val="231F20"/>
          <w:lang w:val="en-GB"/>
        </w:rPr>
        <w:t xml:space="preserve"> Most hits concern PV and not the level of PC.</w:t>
      </w:r>
    </w:p>
    <w:p w14:paraId="587972BA" w14:textId="77777777" w:rsidR="003F26E4" w:rsidRDefault="003F26E4" w:rsidP="00001572">
      <w:pPr>
        <w:jc w:val="both"/>
        <w:rPr>
          <w:lang w:val="en-GB"/>
        </w:rPr>
      </w:pPr>
      <w:r>
        <w:rPr>
          <w:lang w:val="en-GB"/>
        </w:rPr>
        <w:t xml:space="preserve">Much of the medical slang surrounding </w:t>
      </w:r>
      <w:r w:rsidRPr="00A95F46">
        <w:rPr>
          <w:lang w:val="en-GB"/>
        </w:rPr>
        <w:t>medication safety</w:t>
      </w:r>
      <w:r>
        <w:rPr>
          <w:lang w:val="en-GB"/>
        </w:rPr>
        <w:t xml:space="preserve"> has been standardized by the WHO. However, in the (scientific) field there seems to be a lot o</w:t>
      </w:r>
      <w:r w:rsidRPr="00A95F46">
        <w:rPr>
          <w:lang w:val="en-GB"/>
        </w:rPr>
        <w:t>f confusion</w:t>
      </w:r>
      <w:r>
        <w:rPr>
          <w:lang w:val="en-GB"/>
        </w:rPr>
        <w:t xml:space="preserve"> [21]</w:t>
      </w:r>
      <w:r w:rsidRPr="00A95F46">
        <w:rPr>
          <w:lang w:val="en-GB"/>
        </w:rPr>
        <w:t>.</w:t>
      </w:r>
      <w:r>
        <w:rPr>
          <w:lang w:val="en-GB"/>
        </w:rPr>
        <w:t xml:space="preserve"> For instance, PV is a much wider meaning than </w:t>
      </w:r>
      <w:r>
        <w:rPr>
          <w:lang w:val="en-GB"/>
        </w:rPr>
        <w:lastRenderedPageBreak/>
        <w:t>many people in the field seem to realise. It comprises of all the issues drug-related, which like put forward in the introduction includes medication error, lack of efficacy and substandard or fake medicines. Another example is medication safety, which is often directly linked to PV. However, medication safety comprises not only of detection and reporting of many different drug-related problems. Medication safety also consists of the direct consequences of a medication error to the individual patient and is therefore tied to the practical work of pharmacists: PC. Perhaps this confusion in medical slang is one of the reasons why not much is reported about the level of PC in developing countries or the funding or training concerning this matter.</w:t>
      </w:r>
    </w:p>
    <w:p w14:paraId="4633322C" w14:textId="77777777" w:rsidR="003F26E4" w:rsidRPr="00A95F46" w:rsidRDefault="003F26E4" w:rsidP="00001572">
      <w:pPr>
        <w:pStyle w:val="Kop2"/>
        <w:jc w:val="both"/>
        <w:rPr>
          <w:lang w:val="en-GB"/>
        </w:rPr>
      </w:pPr>
      <w:r w:rsidRPr="00A95F46">
        <w:rPr>
          <w:lang w:val="en-GB"/>
        </w:rPr>
        <w:t>Conclusion</w:t>
      </w:r>
    </w:p>
    <w:p w14:paraId="35188B57" w14:textId="77777777" w:rsidR="003F26E4" w:rsidRDefault="003F26E4" w:rsidP="009D5D00">
      <w:pPr>
        <w:jc w:val="both"/>
        <w:rPr>
          <w:rFonts w:cs="TimesNewRomanPS"/>
          <w:color w:val="231F20"/>
          <w:lang w:val="en-GB"/>
        </w:rPr>
      </w:pPr>
      <w:r w:rsidRPr="00A95F46">
        <w:rPr>
          <w:rFonts w:cs="TimesNewRomanPS"/>
          <w:color w:val="231F20"/>
          <w:lang w:val="en-GB"/>
        </w:rPr>
        <w:t>Although medication safety in developing countries has received mu</w:t>
      </w:r>
      <w:r>
        <w:rPr>
          <w:rFonts w:cs="TimesNewRomanPS"/>
          <w:color w:val="231F20"/>
          <w:lang w:val="en-GB"/>
        </w:rPr>
        <w:t xml:space="preserve">ch attention from funding organisations in recent years, the efforts seem to have </w:t>
      </w:r>
      <w:r w:rsidRPr="00A95F46">
        <w:rPr>
          <w:rFonts w:cs="TimesNewRomanPS"/>
          <w:color w:val="231F20"/>
          <w:lang w:val="en-GB"/>
        </w:rPr>
        <w:t xml:space="preserve">mainly </w:t>
      </w:r>
      <w:r>
        <w:rPr>
          <w:rFonts w:cs="TimesNewRomanPS"/>
          <w:color w:val="231F20"/>
          <w:lang w:val="en-GB"/>
        </w:rPr>
        <w:t xml:space="preserve">gone to introducing PV </w:t>
      </w:r>
      <w:r w:rsidRPr="00A95F46">
        <w:rPr>
          <w:rFonts w:cs="TimesNewRomanPS"/>
          <w:color w:val="231F20"/>
          <w:lang w:val="en-GB"/>
        </w:rPr>
        <w:t>in the form of PV centres</w:t>
      </w:r>
      <w:r>
        <w:rPr>
          <w:rFonts w:cs="TimesNewRomanPS"/>
          <w:color w:val="231F20"/>
          <w:lang w:val="en-GB"/>
        </w:rPr>
        <w:t xml:space="preserve"> and integrating PV into PHPs</w:t>
      </w:r>
      <w:r w:rsidRPr="00A95F46">
        <w:rPr>
          <w:rFonts w:cs="TimesNewRomanPS"/>
          <w:color w:val="231F20"/>
          <w:lang w:val="en-GB"/>
        </w:rPr>
        <w:t>. Individual medication safety</w:t>
      </w:r>
      <w:r>
        <w:rPr>
          <w:rFonts w:cs="TimesNewRomanPS"/>
          <w:color w:val="231F20"/>
          <w:lang w:val="en-GB"/>
        </w:rPr>
        <w:t xml:space="preserve"> in the form of PC</w:t>
      </w:r>
      <w:r w:rsidRPr="00A95F46">
        <w:rPr>
          <w:rFonts w:cs="TimesNewRomanPS"/>
          <w:color w:val="231F20"/>
          <w:lang w:val="en-GB"/>
        </w:rPr>
        <w:t>, also in donor-sponsored programs, is still in its infancy</w:t>
      </w:r>
      <w:r>
        <w:rPr>
          <w:rFonts w:cs="TimesNewRomanPS"/>
          <w:color w:val="231F20"/>
          <w:lang w:val="en-GB"/>
        </w:rPr>
        <w:t>, underreported</w:t>
      </w:r>
      <w:r w:rsidRPr="00A95F46">
        <w:rPr>
          <w:rFonts w:cs="TimesNewRomanPS"/>
          <w:color w:val="231F20"/>
          <w:lang w:val="en-GB"/>
        </w:rPr>
        <w:t xml:space="preserve"> or completely absent. </w:t>
      </w:r>
      <w:r>
        <w:rPr>
          <w:rFonts w:cs="TimesNewRomanPS"/>
          <w:color w:val="231F20"/>
          <w:lang w:val="en-GB"/>
        </w:rPr>
        <w:t>T</w:t>
      </w:r>
      <w:r w:rsidRPr="00A95F46">
        <w:rPr>
          <w:rFonts w:cs="TimesNewRomanPS"/>
          <w:color w:val="231F20"/>
          <w:lang w:val="en-GB"/>
        </w:rPr>
        <w:t xml:space="preserve">his surely </w:t>
      </w:r>
      <w:r>
        <w:rPr>
          <w:rFonts w:cs="TimesNewRomanPS"/>
          <w:color w:val="231F20"/>
          <w:lang w:val="en-GB"/>
        </w:rPr>
        <w:t xml:space="preserve">imposes a (serious) health risk. </w:t>
      </w:r>
    </w:p>
    <w:p w14:paraId="09A65BC8" w14:textId="77777777" w:rsidR="003F26E4" w:rsidRDefault="003F26E4" w:rsidP="009D5D00">
      <w:pPr>
        <w:jc w:val="both"/>
        <w:rPr>
          <w:rFonts w:cs="TimesNewRomanPS"/>
          <w:color w:val="231F20"/>
          <w:lang w:val="en-GB"/>
        </w:rPr>
      </w:pPr>
    </w:p>
    <w:p w14:paraId="4E1BAC98" w14:textId="77777777" w:rsidR="003F26E4" w:rsidRDefault="003F26E4" w:rsidP="009D5D00">
      <w:pPr>
        <w:jc w:val="both"/>
        <w:rPr>
          <w:rFonts w:cs="TimesNewRomanPS"/>
          <w:b/>
          <w:color w:val="231F20"/>
          <w:lang w:val="en-GB"/>
        </w:rPr>
      </w:pPr>
      <w:r>
        <w:rPr>
          <w:rFonts w:cs="TimesNewRomanPS"/>
          <w:b/>
          <w:color w:val="231F20"/>
          <w:lang w:val="en-GB"/>
        </w:rPr>
        <w:t>Acknowledgements</w:t>
      </w:r>
    </w:p>
    <w:p w14:paraId="16B9321E" w14:textId="77777777" w:rsidR="003F26E4" w:rsidRPr="00FB2497" w:rsidRDefault="003F26E4" w:rsidP="009D5D00">
      <w:pPr>
        <w:jc w:val="both"/>
        <w:rPr>
          <w:rFonts w:cs="TimesNewRomanPS"/>
          <w:color w:val="231F20"/>
          <w:lang w:val="en-GB"/>
        </w:rPr>
        <w:sectPr w:rsidR="003F26E4" w:rsidRPr="00FB2497" w:rsidSect="00001572">
          <w:type w:val="continuous"/>
          <w:pgSz w:w="11906" w:h="16838"/>
          <w:pgMar w:top="1417" w:right="1417" w:bottom="719" w:left="1417" w:header="708" w:footer="708" w:gutter="0"/>
          <w:cols w:num="2" w:space="708"/>
          <w:docGrid w:linePitch="360"/>
        </w:sectPr>
      </w:pPr>
      <w:r>
        <w:rPr>
          <w:rFonts w:cs="TimesNewRomanPS"/>
          <w:color w:val="231F20"/>
          <w:lang w:val="en-GB"/>
        </w:rPr>
        <w:t xml:space="preserve">Special thanks to M. Serrano, A. </w:t>
      </w:r>
      <w:proofErr w:type="spellStart"/>
      <w:r>
        <w:rPr>
          <w:rFonts w:cs="TimesNewRomanPS"/>
          <w:color w:val="231F20"/>
          <w:lang w:val="en-GB"/>
        </w:rPr>
        <w:t>Kwiecien</w:t>
      </w:r>
      <w:proofErr w:type="spellEnd"/>
      <w:r>
        <w:rPr>
          <w:rFonts w:cs="TimesNewRomanPS"/>
          <w:color w:val="231F20"/>
          <w:lang w:val="en-GB"/>
        </w:rPr>
        <w:t xml:space="preserve">, I. </w:t>
      </w:r>
      <w:proofErr w:type="spellStart"/>
      <w:r>
        <w:rPr>
          <w:rFonts w:cs="TimesNewRomanPS"/>
          <w:color w:val="231F20"/>
          <w:lang w:val="en-GB"/>
        </w:rPr>
        <w:t>Padri</w:t>
      </w:r>
      <w:proofErr w:type="spellEnd"/>
      <w:r>
        <w:rPr>
          <w:rFonts w:cs="TimesNewRomanPS"/>
          <w:color w:val="231F20"/>
          <w:lang w:val="en-GB"/>
        </w:rPr>
        <w:t xml:space="preserve">, M. Neve and many others for the correspondence. Your information added extra value to this project.  Thanks for the employees of GF and WHO </w:t>
      </w:r>
      <w:proofErr w:type="spellStart"/>
      <w:r>
        <w:rPr>
          <w:rFonts w:cs="TimesNewRomanPS"/>
          <w:color w:val="231F20"/>
          <w:lang w:val="en-GB"/>
        </w:rPr>
        <w:t>who</w:t>
      </w:r>
      <w:proofErr w:type="spellEnd"/>
      <w:r>
        <w:rPr>
          <w:rFonts w:cs="TimesNewRomanPS"/>
          <w:color w:val="231F20"/>
          <w:lang w:val="en-GB"/>
        </w:rPr>
        <w:t xml:space="preserve"> responded as best they could.  Many thanks to A.R.G. van </w:t>
      </w:r>
      <w:proofErr w:type="spellStart"/>
      <w:r>
        <w:rPr>
          <w:rFonts w:cs="TimesNewRomanPS"/>
          <w:color w:val="231F20"/>
          <w:lang w:val="en-GB"/>
        </w:rPr>
        <w:t>Slobbe</w:t>
      </w:r>
      <w:proofErr w:type="spellEnd"/>
      <w:r>
        <w:rPr>
          <w:rFonts w:cs="TimesNewRomanPS"/>
          <w:color w:val="231F20"/>
          <w:lang w:val="en-GB"/>
        </w:rPr>
        <w:t xml:space="preserve"> and A.K. Mantel in supervising this project.</w:t>
      </w:r>
    </w:p>
    <w:p w14:paraId="59C455C7" w14:textId="77777777" w:rsidR="003F26E4" w:rsidRDefault="003F26E4">
      <w:pPr>
        <w:spacing w:after="0" w:line="240" w:lineRule="auto"/>
        <w:rPr>
          <w:rFonts w:cs="TimesNewRomanPS"/>
          <w:color w:val="231F20"/>
          <w:lang w:val="en-GB"/>
        </w:rPr>
      </w:pPr>
      <w:r>
        <w:rPr>
          <w:rFonts w:cs="TimesNewRomanPS"/>
          <w:color w:val="231F20"/>
          <w:lang w:val="en-GB"/>
        </w:rPr>
        <w:lastRenderedPageBreak/>
        <w:br w:type="page"/>
      </w:r>
    </w:p>
    <w:p w14:paraId="5C1BABED" w14:textId="77777777" w:rsidR="003F26E4" w:rsidRDefault="003F26E4" w:rsidP="0090302E">
      <w:pPr>
        <w:pStyle w:val="Kop3"/>
        <w:rPr>
          <w:lang w:val="en-GB"/>
        </w:rPr>
      </w:pPr>
      <w:r>
        <w:rPr>
          <w:lang w:val="en-GB"/>
        </w:rPr>
        <w:t>References</w:t>
      </w:r>
    </w:p>
    <w:p w14:paraId="2C9F8DDF" w14:textId="77777777" w:rsidR="003F26E4" w:rsidRDefault="003F26E4" w:rsidP="00D0618D">
      <w:pPr>
        <w:spacing w:after="60" w:line="240" w:lineRule="auto"/>
        <w:ind w:left="705" w:hanging="705"/>
        <w:rPr>
          <w:lang w:val="en-GB"/>
        </w:rPr>
      </w:pPr>
      <w:r w:rsidRPr="00A95F46">
        <w:rPr>
          <w:lang w:val="en-GB"/>
        </w:rPr>
        <w:t>[</w:t>
      </w:r>
      <w:r>
        <w:rPr>
          <w:lang w:val="en-GB"/>
        </w:rPr>
        <w:t>1</w:t>
      </w:r>
      <w:r w:rsidRPr="00A95F46">
        <w:rPr>
          <w:lang w:val="en-GB"/>
        </w:rPr>
        <w:t xml:space="preserve">] </w:t>
      </w:r>
      <w:r>
        <w:rPr>
          <w:lang w:val="en-GB"/>
        </w:rPr>
        <w:tab/>
        <w:t xml:space="preserve">World Health Organisation. The Role of the Pharmacist: Quality Pharmaceutical Services – Benefits for Governments and the Public. Geneva: WHO, 1994: p. 7. </w:t>
      </w:r>
      <w:hyperlink r:id="rId8" w:history="1">
        <w:r w:rsidRPr="00EA7AF8">
          <w:rPr>
            <w:rStyle w:val="Hyperlink"/>
            <w:lang w:val="en-GB"/>
          </w:rPr>
          <w:t>http://apps.who.int/medicinedocs/en/d/Jh2995e/2.2.html</w:t>
        </w:r>
      </w:hyperlink>
    </w:p>
    <w:p w14:paraId="001277A3" w14:textId="77777777" w:rsidR="003F26E4" w:rsidRPr="00A95F46" w:rsidRDefault="003F26E4" w:rsidP="00D0618D">
      <w:pPr>
        <w:spacing w:after="60" w:line="240" w:lineRule="auto"/>
        <w:ind w:left="705" w:hanging="705"/>
        <w:rPr>
          <w:lang w:val="en-GB"/>
        </w:rPr>
      </w:pPr>
      <w:r>
        <w:rPr>
          <w:lang w:val="en-GB"/>
        </w:rPr>
        <w:t>[2]</w:t>
      </w:r>
      <w:r>
        <w:rPr>
          <w:lang w:val="en-GB"/>
        </w:rPr>
        <w:tab/>
      </w:r>
      <w:r w:rsidRPr="00A95F46">
        <w:rPr>
          <w:lang w:val="en-GB"/>
        </w:rPr>
        <w:t xml:space="preserve">Report of the </w:t>
      </w:r>
      <w:proofErr w:type="gramStart"/>
      <w:r w:rsidRPr="00A95F46">
        <w:rPr>
          <w:lang w:val="en-GB"/>
        </w:rPr>
        <w:t>Thirty-first</w:t>
      </w:r>
      <w:proofErr w:type="gramEnd"/>
      <w:r w:rsidRPr="00A95F46">
        <w:rPr>
          <w:lang w:val="en-GB"/>
        </w:rPr>
        <w:t xml:space="preserve"> Annual Meeting of Representatives of National Pharmacovigilance Centres participating in the WHO Programme for International Drug Monitoring, 20–23 October 2008. WHO Pharmaceuticals Newsletter. 2008;4.</w:t>
      </w:r>
    </w:p>
    <w:p w14:paraId="5F845099" w14:textId="77777777" w:rsidR="003F26E4" w:rsidRPr="00A95F46" w:rsidRDefault="003F26E4" w:rsidP="00D0618D">
      <w:pPr>
        <w:spacing w:after="60" w:line="240" w:lineRule="auto"/>
        <w:ind w:left="705" w:hanging="705"/>
        <w:rPr>
          <w:lang w:val="en-GB"/>
        </w:rPr>
      </w:pPr>
      <w:r>
        <w:rPr>
          <w:lang w:val="en-GB"/>
        </w:rPr>
        <w:t>[3</w:t>
      </w:r>
      <w:r w:rsidRPr="00A95F46">
        <w:rPr>
          <w:lang w:val="en-GB"/>
        </w:rPr>
        <w:t xml:space="preserve">] </w:t>
      </w:r>
      <w:r>
        <w:rPr>
          <w:lang w:val="en-GB"/>
        </w:rPr>
        <w:tab/>
        <w:t xml:space="preserve">Olsson S, Pal S, </w:t>
      </w:r>
      <w:proofErr w:type="spellStart"/>
      <w:r>
        <w:rPr>
          <w:lang w:val="en-GB"/>
        </w:rPr>
        <w:t>Dodoo</w:t>
      </w:r>
      <w:proofErr w:type="spellEnd"/>
      <w:r>
        <w:rPr>
          <w:lang w:val="en-GB"/>
        </w:rPr>
        <w:t xml:space="preserve"> A. </w:t>
      </w:r>
      <w:r w:rsidRPr="00A95F46">
        <w:rPr>
          <w:lang w:val="en-GB"/>
        </w:rPr>
        <w:t>P</w:t>
      </w:r>
      <w:r>
        <w:rPr>
          <w:lang w:val="en-GB"/>
        </w:rPr>
        <w:t>harmacovigilance</w:t>
      </w:r>
      <w:r w:rsidRPr="00A95F46">
        <w:rPr>
          <w:lang w:val="en-GB"/>
        </w:rPr>
        <w:t xml:space="preserve"> in resource-limited countries</w:t>
      </w:r>
      <w:r>
        <w:rPr>
          <w:lang w:val="en-GB"/>
        </w:rPr>
        <w:t xml:space="preserve">. Expert Rev </w:t>
      </w:r>
      <w:proofErr w:type="spellStart"/>
      <w:r>
        <w:rPr>
          <w:lang w:val="en-GB"/>
        </w:rPr>
        <w:t>Clin</w:t>
      </w:r>
      <w:proofErr w:type="spellEnd"/>
      <w:r>
        <w:rPr>
          <w:lang w:val="en-GB"/>
        </w:rPr>
        <w:t xml:space="preserve"> </w:t>
      </w:r>
      <w:proofErr w:type="spellStart"/>
      <w:r>
        <w:rPr>
          <w:lang w:val="en-GB"/>
        </w:rPr>
        <w:t>Pharmacol</w:t>
      </w:r>
      <w:proofErr w:type="spellEnd"/>
      <w:r>
        <w:rPr>
          <w:lang w:val="en-GB"/>
        </w:rPr>
        <w:t>. 2015; 8(4): 449-600.</w:t>
      </w:r>
    </w:p>
    <w:p w14:paraId="7214FA1D" w14:textId="77777777" w:rsidR="003F26E4" w:rsidRPr="00A95F46" w:rsidRDefault="003F26E4" w:rsidP="00D0618D">
      <w:pPr>
        <w:spacing w:after="60" w:line="240" w:lineRule="auto"/>
        <w:ind w:left="705" w:hanging="705"/>
        <w:rPr>
          <w:lang w:val="en-GB"/>
        </w:rPr>
      </w:pPr>
      <w:r>
        <w:rPr>
          <w:lang w:val="en-GB"/>
        </w:rPr>
        <w:t>[4</w:t>
      </w:r>
      <w:r w:rsidRPr="00A95F46">
        <w:rPr>
          <w:lang w:val="en-GB"/>
        </w:rPr>
        <w:t xml:space="preserve">] </w:t>
      </w:r>
      <w:r>
        <w:rPr>
          <w:lang w:val="en-GB"/>
        </w:rPr>
        <w:tab/>
        <w:t xml:space="preserve">World Health Organisation. WHO </w:t>
      </w:r>
      <w:r w:rsidRPr="00A95F46">
        <w:rPr>
          <w:lang w:val="en-GB"/>
        </w:rPr>
        <w:t>Pharmacovigilance indicators</w:t>
      </w:r>
      <w:r>
        <w:rPr>
          <w:lang w:val="en-GB"/>
        </w:rPr>
        <w:t>: A practical manual for the assessment of pharmacovigilance systems. Geneva: WHO, 2015: p. 1-3.</w:t>
      </w:r>
    </w:p>
    <w:p w14:paraId="29CC0DAB" w14:textId="77777777" w:rsidR="003F26E4" w:rsidRPr="00A95F46" w:rsidRDefault="003F26E4" w:rsidP="00D0618D">
      <w:pPr>
        <w:spacing w:after="60" w:line="240" w:lineRule="auto"/>
        <w:ind w:left="705" w:hanging="705"/>
        <w:rPr>
          <w:lang w:val="en-GB"/>
        </w:rPr>
      </w:pPr>
      <w:r>
        <w:rPr>
          <w:lang w:val="en-GB"/>
        </w:rPr>
        <w:t>[5]</w:t>
      </w:r>
      <w:r>
        <w:rPr>
          <w:lang w:val="en-GB"/>
        </w:rPr>
        <w:tab/>
        <w:t>World Health Organisation.</w:t>
      </w:r>
      <w:r w:rsidRPr="00145065">
        <w:rPr>
          <w:rFonts w:ascii="Times New Roman" w:hAnsi="Times New Roman"/>
          <w:sz w:val="25"/>
          <w:szCs w:val="25"/>
          <w:lang w:val="en-US" w:eastAsia="nl-NL"/>
        </w:rPr>
        <w:t xml:space="preserve"> </w:t>
      </w:r>
      <w:r w:rsidRPr="00145065">
        <w:rPr>
          <w:lang w:val="en-US"/>
        </w:rPr>
        <w:t xml:space="preserve">The safety of medicines in public health </w:t>
      </w:r>
      <w:proofErr w:type="spellStart"/>
      <w:r w:rsidRPr="00145065">
        <w:rPr>
          <w:lang w:val="en-US"/>
        </w:rPr>
        <w:t>programmes</w:t>
      </w:r>
      <w:proofErr w:type="spellEnd"/>
      <w:r w:rsidRPr="00145065">
        <w:rPr>
          <w:lang w:val="en-US"/>
        </w:rPr>
        <w:t>:</w:t>
      </w:r>
      <w:r>
        <w:rPr>
          <w:lang w:val="en-US"/>
        </w:rPr>
        <w:t xml:space="preserve"> </w:t>
      </w:r>
      <w:r w:rsidRPr="00145065">
        <w:rPr>
          <w:lang w:val="en-US"/>
        </w:rPr>
        <w:t>pharmacovigilance</w:t>
      </w:r>
      <w:r>
        <w:rPr>
          <w:lang w:val="en-US"/>
        </w:rPr>
        <w:t>,</w:t>
      </w:r>
      <w:r w:rsidRPr="00145065">
        <w:rPr>
          <w:lang w:val="en-US"/>
        </w:rPr>
        <w:t xml:space="preserve"> an essential tool.</w:t>
      </w:r>
      <w:r>
        <w:rPr>
          <w:lang w:val="en-US"/>
        </w:rPr>
        <w:t xml:space="preserve"> Geneva: WHO,</w:t>
      </w:r>
      <w:r w:rsidRPr="00A95F46">
        <w:rPr>
          <w:lang w:val="en-GB"/>
        </w:rPr>
        <w:t xml:space="preserve"> 2006</w:t>
      </w:r>
      <w:r>
        <w:rPr>
          <w:lang w:val="en-GB"/>
        </w:rPr>
        <w:t>: p. 21-24.</w:t>
      </w:r>
    </w:p>
    <w:p w14:paraId="14351897" w14:textId="77777777" w:rsidR="003F26E4" w:rsidRPr="00A95F46" w:rsidRDefault="003F26E4" w:rsidP="00D0618D">
      <w:pPr>
        <w:spacing w:after="60" w:line="240" w:lineRule="auto"/>
        <w:ind w:left="705" w:hanging="705"/>
        <w:rPr>
          <w:lang w:val="en-GB"/>
        </w:rPr>
      </w:pPr>
      <w:r>
        <w:rPr>
          <w:lang w:val="en-GB"/>
        </w:rPr>
        <w:t>[6</w:t>
      </w:r>
      <w:r w:rsidRPr="00A95F46">
        <w:rPr>
          <w:lang w:val="en-GB"/>
        </w:rPr>
        <w:t xml:space="preserve">] </w:t>
      </w:r>
      <w:r>
        <w:rPr>
          <w:lang w:val="en-GB"/>
        </w:rPr>
        <w:tab/>
      </w:r>
      <w:r w:rsidRPr="00A95F46">
        <w:rPr>
          <w:lang w:val="en-GB"/>
        </w:rPr>
        <w:t>The Global Fund</w:t>
      </w:r>
      <w:r>
        <w:rPr>
          <w:lang w:val="en-GB"/>
        </w:rPr>
        <w:t xml:space="preserve">. Country Coordinating Mechanism. </w:t>
      </w:r>
      <w:hyperlink r:id="rId9" w:history="1">
        <w:r w:rsidRPr="00EA7AF8">
          <w:rPr>
            <w:rStyle w:val="Hyperlink"/>
            <w:lang w:val="en-GB"/>
          </w:rPr>
          <w:t>http://www.theglobalfund.org/en/ccm/</w:t>
        </w:r>
      </w:hyperlink>
      <w:r>
        <w:rPr>
          <w:lang w:val="en-GB"/>
        </w:rPr>
        <w:t>. Consulted on: 5-7-2016.</w:t>
      </w:r>
    </w:p>
    <w:p w14:paraId="53FD0690" w14:textId="77777777" w:rsidR="003F26E4" w:rsidRPr="00A95F46" w:rsidRDefault="003F26E4" w:rsidP="00D0618D">
      <w:pPr>
        <w:spacing w:after="60" w:line="240" w:lineRule="auto"/>
        <w:ind w:left="705" w:hanging="705"/>
        <w:rPr>
          <w:lang w:val="en-GB"/>
        </w:rPr>
      </w:pPr>
      <w:r>
        <w:rPr>
          <w:lang w:val="en-GB"/>
        </w:rPr>
        <w:t>[7</w:t>
      </w:r>
      <w:r w:rsidRPr="00A95F46">
        <w:rPr>
          <w:lang w:val="en-GB"/>
        </w:rPr>
        <w:t xml:space="preserve">] </w:t>
      </w:r>
      <w:r>
        <w:rPr>
          <w:lang w:val="en-GB"/>
        </w:rPr>
        <w:tab/>
        <w:t xml:space="preserve">Pal S, </w:t>
      </w:r>
      <w:proofErr w:type="spellStart"/>
      <w:r>
        <w:rPr>
          <w:lang w:val="en-GB"/>
        </w:rPr>
        <w:t>Dodoo</w:t>
      </w:r>
      <w:proofErr w:type="spellEnd"/>
      <w:r>
        <w:rPr>
          <w:lang w:val="en-GB"/>
        </w:rPr>
        <w:t xml:space="preserve"> A, Mantel A, Olsson S. The World Medicines S</w:t>
      </w:r>
      <w:r w:rsidRPr="00A95F46">
        <w:rPr>
          <w:lang w:val="en-GB"/>
        </w:rPr>
        <w:t>ituation 2011</w:t>
      </w:r>
      <w:r>
        <w:rPr>
          <w:lang w:val="en-GB"/>
        </w:rPr>
        <w:t>: Pharmacovigilance and safety of medicines. 3</w:t>
      </w:r>
      <w:r w:rsidRPr="00A51D7F">
        <w:rPr>
          <w:vertAlign w:val="superscript"/>
          <w:lang w:val="en-GB"/>
        </w:rPr>
        <w:t>rd</w:t>
      </w:r>
      <w:r>
        <w:rPr>
          <w:lang w:val="en-GB"/>
        </w:rPr>
        <w:t xml:space="preserve"> ed. Geneva: WHO, 2011: p. 6.</w:t>
      </w:r>
    </w:p>
    <w:p w14:paraId="2CF19483" w14:textId="77777777" w:rsidR="003F26E4" w:rsidRPr="00A95F46" w:rsidRDefault="003F26E4" w:rsidP="00D0618D">
      <w:pPr>
        <w:spacing w:after="60" w:line="240" w:lineRule="auto"/>
        <w:ind w:left="705" w:hanging="705"/>
        <w:rPr>
          <w:lang w:val="en-GB"/>
        </w:rPr>
      </w:pPr>
      <w:r>
        <w:rPr>
          <w:lang w:val="en-GB"/>
        </w:rPr>
        <w:t>[8</w:t>
      </w:r>
      <w:r w:rsidRPr="00A95F46">
        <w:rPr>
          <w:lang w:val="en-GB"/>
        </w:rPr>
        <w:t xml:space="preserve">] </w:t>
      </w:r>
      <w:r>
        <w:rPr>
          <w:lang w:val="en-GB"/>
        </w:rPr>
        <w:tab/>
        <w:t xml:space="preserve">World Health Organisation. </w:t>
      </w:r>
      <w:r w:rsidRPr="00A95F46">
        <w:rPr>
          <w:lang w:val="en-GB"/>
        </w:rPr>
        <w:t>Reporting and learnin</w:t>
      </w:r>
      <w:r>
        <w:rPr>
          <w:lang w:val="en-GB"/>
        </w:rPr>
        <w:t>g systems for medication errors: the role of pharmacovigilance centres.</w:t>
      </w:r>
      <w:r w:rsidRPr="00A95F46">
        <w:rPr>
          <w:lang w:val="en-GB"/>
        </w:rPr>
        <w:t xml:space="preserve"> </w:t>
      </w:r>
      <w:r>
        <w:rPr>
          <w:lang w:val="en-GB"/>
        </w:rPr>
        <w:t>Geneva: WHO, 2014: p. 9.</w:t>
      </w:r>
    </w:p>
    <w:p w14:paraId="4ADB2308" w14:textId="77777777" w:rsidR="003F26E4" w:rsidRPr="00A95F46" w:rsidRDefault="003F26E4" w:rsidP="00D0618D">
      <w:pPr>
        <w:spacing w:after="60" w:line="240" w:lineRule="auto"/>
        <w:ind w:left="705" w:hanging="705"/>
        <w:rPr>
          <w:lang w:val="en-GB"/>
        </w:rPr>
      </w:pPr>
      <w:r>
        <w:rPr>
          <w:lang w:val="en-GB"/>
        </w:rPr>
        <w:t>[9</w:t>
      </w:r>
      <w:r w:rsidRPr="00A95F46">
        <w:rPr>
          <w:lang w:val="en-GB"/>
        </w:rPr>
        <w:t xml:space="preserve">] </w:t>
      </w:r>
      <w:r>
        <w:rPr>
          <w:lang w:val="en-GB"/>
        </w:rPr>
        <w:tab/>
        <w:t>World Health Organisation. A Practical Handbook on the Pharmacovigilance of Antimalarial medicines.</w:t>
      </w:r>
      <w:r w:rsidRPr="00A95F46">
        <w:rPr>
          <w:lang w:val="en-GB"/>
        </w:rPr>
        <w:t xml:space="preserve"> </w:t>
      </w:r>
      <w:r>
        <w:rPr>
          <w:lang w:val="en-GB"/>
        </w:rPr>
        <w:t>Geneva: WHO, 2007: p. 10.</w:t>
      </w:r>
    </w:p>
    <w:p w14:paraId="53DBC1A5" w14:textId="77777777" w:rsidR="003F26E4" w:rsidRPr="005C643A" w:rsidRDefault="003F26E4" w:rsidP="00D0618D">
      <w:pPr>
        <w:spacing w:after="60" w:line="240" w:lineRule="auto"/>
        <w:ind w:left="705" w:hanging="705"/>
        <w:rPr>
          <w:lang w:val="en-US"/>
        </w:rPr>
      </w:pPr>
      <w:r w:rsidRPr="00A95F46">
        <w:rPr>
          <w:lang w:val="en-GB"/>
        </w:rPr>
        <w:t>[</w:t>
      </w:r>
      <w:r>
        <w:rPr>
          <w:lang w:val="en-GB"/>
        </w:rPr>
        <w:t>10</w:t>
      </w:r>
      <w:r w:rsidRPr="00A95F46">
        <w:rPr>
          <w:lang w:val="en-GB"/>
        </w:rPr>
        <w:t xml:space="preserve">] </w:t>
      </w:r>
      <w:r>
        <w:rPr>
          <w:lang w:val="en-GB"/>
        </w:rPr>
        <w:tab/>
        <w:t xml:space="preserve">Pal S, </w:t>
      </w:r>
      <w:proofErr w:type="spellStart"/>
      <w:r>
        <w:rPr>
          <w:lang w:val="en-GB"/>
        </w:rPr>
        <w:t>Duncombe</w:t>
      </w:r>
      <w:proofErr w:type="spellEnd"/>
      <w:r>
        <w:rPr>
          <w:lang w:val="en-GB"/>
        </w:rPr>
        <w:t xml:space="preserve"> C, </w:t>
      </w:r>
      <w:proofErr w:type="spellStart"/>
      <w:r>
        <w:rPr>
          <w:lang w:val="en-GB"/>
        </w:rPr>
        <w:t>Falzon</w:t>
      </w:r>
      <w:proofErr w:type="spellEnd"/>
      <w:r>
        <w:rPr>
          <w:lang w:val="en-GB"/>
        </w:rPr>
        <w:t xml:space="preserve"> D, Olsson S. WHO S</w:t>
      </w:r>
      <w:r w:rsidRPr="00A95F46">
        <w:rPr>
          <w:lang w:val="en-GB"/>
        </w:rPr>
        <w:t xml:space="preserve">trategy </w:t>
      </w:r>
      <w:r>
        <w:rPr>
          <w:lang w:val="en-GB"/>
        </w:rPr>
        <w:t xml:space="preserve">for Collecting Safety Data in Public Health Programmes: Complementing Spontaneous Reporting Systems. </w:t>
      </w:r>
      <w:r w:rsidRPr="005C643A">
        <w:rPr>
          <w:lang w:val="en-US"/>
        </w:rPr>
        <w:t xml:space="preserve">Drug </w:t>
      </w:r>
      <w:proofErr w:type="spellStart"/>
      <w:r w:rsidRPr="005C643A">
        <w:rPr>
          <w:lang w:val="en-US"/>
        </w:rPr>
        <w:t>Saf</w:t>
      </w:r>
      <w:proofErr w:type="spellEnd"/>
      <w:r w:rsidRPr="005C643A">
        <w:rPr>
          <w:lang w:val="en-US"/>
        </w:rPr>
        <w:t>. 2013; 36: 75-81.</w:t>
      </w:r>
    </w:p>
    <w:p w14:paraId="30A0CBAE" w14:textId="77777777" w:rsidR="003F26E4" w:rsidRPr="00E5590E" w:rsidRDefault="003F26E4" w:rsidP="00D0618D">
      <w:pPr>
        <w:spacing w:after="60" w:line="240" w:lineRule="auto"/>
        <w:ind w:left="705" w:hanging="705"/>
        <w:rPr>
          <w:lang w:val="en-US"/>
        </w:rPr>
      </w:pPr>
      <w:r w:rsidRPr="00E5590E">
        <w:rPr>
          <w:lang w:val="en-US"/>
        </w:rPr>
        <w:t>[11]</w:t>
      </w:r>
      <w:r w:rsidRPr="00E5590E">
        <w:rPr>
          <w:lang w:val="en-US"/>
        </w:rPr>
        <w:tab/>
        <w:t>WHO Collaborating Centre for Advoc</w:t>
      </w:r>
      <w:r>
        <w:rPr>
          <w:lang w:val="en-US"/>
        </w:rPr>
        <w:t xml:space="preserve">acy and training in Pharmacovigilance. About us. </w:t>
      </w:r>
      <w:hyperlink r:id="rId10" w:history="1">
        <w:r w:rsidRPr="00EA7AF8">
          <w:rPr>
            <w:rStyle w:val="Hyperlink"/>
            <w:lang w:val="en-US"/>
          </w:rPr>
          <w:t>http://www.who-pvafrica.org/index.php/home/about-us</w:t>
        </w:r>
      </w:hyperlink>
      <w:r>
        <w:rPr>
          <w:lang w:val="en-US"/>
        </w:rPr>
        <w:t>. Consulted on: 7-7-2016.</w:t>
      </w:r>
    </w:p>
    <w:p w14:paraId="23B2ABE7" w14:textId="77777777" w:rsidR="003F26E4" w:rsidRPr="00E5590E" w:rsidRDefault="003F26E4" w:rsidP="00D0618D">
      <w:pPr>
        <w:spacing w:after="60" w:line="240" w:lineRule="auto"/>
        <w:ind w:left="705" w:hanging="705"/>
        <w:rPr>
          <w:lang w:val="en-US"/>
        </w:rPr>
      </w:pPr>
      <w:r w:rsidRPr="00E5590E">
        <w:rPr>
          <w:lang w:val="en-US"/>
        </w:rPr>
        <w:t>[12</w:t>
      </w:r>
      <w:r>
        <w:rPr>
          <w:lang w:val="en-US"/>
        </w:rPr>
        <w:t>]</w:t>
      </w:r>
      <w:r w:rsidRPr="00E5590E">
        <w:rPr>
          <w:lang w:val="en-US"/>
        </w:rPr>
        <w:tab/>
        <w:t>WHO Collaborating Centre for Advoc</w:t>
      </w:r>
      <w:r>
        <w:rPr>
          <w:lang w:val="en-US"/>
        </w:rPr>
        <w:t>acy and training in Pharmacovigilance. MedSpina.</w:t>
      </w:r>
      <w:r w:rsidRPr="00E5590E">
        <w:rPr>
          <w:lang w:val="en-US"/>
        </w:rPr>
        <w:t xml:space="preserve"> </w:t>
      </w:r>
      <w:hyperlink r:id="rId11" w:history="1">
        <w:r w:rsidRPr="00E5590E">
          <w:rPr>
            <w:rStyle w:val="Hyperlink"/>
            <w:lang w:val="en-US"/>
          </w:rPr>
          <w:t>http://www.who-pvafrica.org/index.php/med-spina</w:t>
        </w:r>
      </w:hyperlink>
      <w:r>
        <w:rPr>
          <w:lang w:val="en-GB"/>
        </w:rPr>
        <w:t>. Consulted on: 7-7-2016.</w:t>
      </w:r>
    </w:p>
    <w:p w14:paraId="187980A8" w14:textId="77777777" w:rsidR="003F26E4" w:rsidRDefault="003F26E4" w:rsidP="00D0618D">
      <w:pPr>
        <w:spacing w:after="60" w:line="240" w:lineRule="auto"/>
        <w:ind w:left="705" w:hanging="705"/>
        <w:rPr>
          <w:lang w:val="en-GB"/>
        </w:rPr>
      </w:pPr>
      <w:r w:rsidRPr="00E5590E">
        <w:rPr>
          <w:lang w:val="en-US"/>
        </w:rPr>
        <w:t>[13]</w:t>
      </w:r>
      <w:r>
        <w:rPr>
          <w:lang w:val="en-US"/>
        </w:rPr>
        <w:tab/>
        <w:t xml:space="preserve">Ghana News Agency. Ghana adopts electronic health records for patients. </w:t>
      </w:r>
      <w:r w:rsidRPr="00E5590E">
        <w:rPr>
          <w:lang w:val="en-US"/>
        </w:rPr>
        <w:t xml:space="preserve"> </w:t>
      </w:r>
      <w:hyperlink r:id="rId12" w:history="1">
        <w:r w:rsidRPr="005C643A">
          <w:rPr>
            <w:rStyle w:val="Hyperlink"/>
          </w:rPr>
          <w:t>http://www.ghananewsagency.org/health/ghana-adopts-electronic-health-records-for-patients-70537</w:t>
        </w:r>
      </w:hyperlink>
      <w:r w:rsidRPr="005C643A">
        <w:t xml:space="preserve">. </w:t>
      </w:r>
      <w:r>
        <w:rPr>
          <w:lang w:val="en-GB"/>
        </w:rPr>
        <w:t>Consulted on: 7-7-2016.</w:t>
      </w:r>
    </w:p>
    <w:p w14:paraId="0849684E" w14:textId="77777777" w:rsidR="003F26E4" w:rsidRPr="00A95F46" w:rsidRDefault="003F26E4" w:rsidP="00D0618D">
      <w:pPr>
        <w:spacing w:after="60" w:line="240" w:lineRule="auto"/>
        <w:rPr>
          <w:lang w:val="en-GB"/>
        </w:rPr>
      </w:pPr>
      <w:r w:rsidRPr="00A95F46">
        <w:rPr>
          <w:lang w:val="en-GB"/>
        </w:rPr>
        <w:t>[</w:t>
      </w:r>
      <w:r>
        <w:rPr>
          <w:lang w:val="en-GB"/>
        </w:rPr>
        <w:t>14</w:t>
      </w:r>
      <w:r w:rsidRPr="00A95F46">
        <w:rPr>
          <w:lang w:val="en-GB"/>
        </w:rPr>
        <w:t>]</w:t>
      </w:r>
      <w:r>
        <w:rPr>
          <w:lang w:val="en-GB"/>
        </w:rPr>
        <w:tab/>
      </w:r>
      <w:r w:rsidRPr="00A95F46">
        <w:rPr>
          <w:lang w:val="en-GB"/>
        </w:rPr>
        <w:t>The Global Fund</w:t>
      </w:r>
      <w:r>
        <w:rPr>
          <w:lang w:val="en-GB"/>
        </w:rPr>
        <w:t xml:space="preserve">. History of The Global Fund. </w:t>
      </w:r>
      <w:hyperlink r:id="rId13" w:history="1">
        <w:r w:rsidRPr="00EA7AF8">
          <w:rPr>
            <w:rStyle w:val="Hyperlink"/>
            <w:lang w:val="en-GB"/>
          </w:rPr>
          <w:t>http://www.theglobalfund.org/en/history/</w:t>
        </w:r>
      </w:hyperlink>
      <w:r>
        <w:rPr>
          <w:lang w:val="en-GB"/>
        </w:rPr>
        <w:t xml:space="preserve">. </w:t>
      </w:r>
      <w:r>
        <w:rPr>
          <w:lang w:val="en-GB"/>
        </w:rPr>
        <w:tab/>
        <w:t>Consulted on: 5-7-2016.</w:t>
      </w:r>
    </w:p>
    <w:p w14:paraId="03331F74" w14:textId="77777777" w:rsidR="003F26E4" w:rsidRPr="00A95F46" w:rsidRDefault="003F26E4" w:rsidP="00D0618D">
      <w:pPr>
        <w:spacing w:after="60" w:line="240" w:lineRule="auto"/>
        <w:ind w:left="705" w:hanging="705"/>
        <w:rPr>
          <w:lang w:val="en-GB"/>
        </w:rPr>
      </w:pPr>
      <w:r w:rsidRPr="00A95F46">
        <w:rPr>
          <w:lang w:val="en-GB"/>
        </w:rPr>
        <w:t>[</w:t>
      </w:r>
      <w:r>
        <w:rPr>
          <w:lang w:val="en-GB"/>
        </w:rPr>
        <w:t>15</w:t>
      </w:r>
      <w:r w:rsidRPr="00A95F46">
        <w:rPr>
          <w:lang w:val="en-GB"/>
        </w:rPr>
        <w:t xml:space="preserve">] </w:t>
      </w:r>
      <w:r>
        <w:rPr>
          <w:lang w:val="en-GB"/>
        </w:rPr>
        <w:tab/>
      </w:r>
      <w:proofErr w:type="spellStart"/>
      <w:r w:rsidRPr="00A95F46">
        <w:rPr>
          <w:lang w:val="en-GB"/>
        </w:rPr>
        <w:t>Aidspan</w:t>
      </w:r>
      <w:proofErr w:type="spellEnd"/>
      <w:r>
        <w:rPr>
          <w:lang w:val="en-GB"/>
        </w:rPr>
        <w:t>, Independent observer of The Global Fund. A Beginner’s Guide to The Global Fund. 3</w:t>
      </w:r>
      <w:r w:rsidRPr="002F27D2">
        <w:rPr>
          <w:vertAlign w:val="superscript"/>
          <w:lang w:val="en-GB"/>
        </w:rPr>
        <w:t>rd</w:t>
      </w:r>
      <w:r>
        <w:rPr>
          <w:lang w:val="en-GB"/>
        </w:rPr>
        <w:t xml:space="preserve"> ed. Nairobi: 2013: p.28-35.</w:t>
      </w:r>
    </w:p>
    <w:p w14:paraId="5B4A5192" w14:textId="77777777" w:rsidR="003F26E4" w:rsidRPr="00A95F46" w:rsidRDefault="003F26E4" w:rsidP="00D0618D">
      <w:pPr>
        <w:spacing w:after="60" w:line="240" w:lineRule="auto"/>
        <w:ind w:left="705" w:hanging="705"/>
        <w:rPr>
          <w:lang w:val="en-GB"/>
        </w:rPr>
      </w:pPr>
      <w:r w:rsidRPr="00A95F46">
        <w:rPr>
          <w:lang w:val="en-GB"/>
        </w:rPr>
        <w:t>[</w:t>
      </w:r>
      <w:r>
        <w:rPr>
          <w:lang w:val="en-GB"/>
        </w:rPr>
        <w:t>16</w:t>
      </w:r>
      <w:r w:rsidRPr="00A95F46">
        <w:rPr>
          <w:lang w:val="en-GB"/>
        </w:rPr>
        <w:t xml:space="preserve">] </w:t>
      </w:r>
      <w:r>
        <w:rPr>
          <w:lang w:val="en-GB"/>
        </w:rPr>
        <w:tab/>
        <w:t xml:space="preserve">Médecins sans </w:t>
      </w:r>
      <w:proofErr w:type="spellStart"/>
      <w:r>
        <w:rPr>
          <w:lang w:val="en-GB"/>
        </w:rPr>
        <w:t>Frontières</w:t>
      </w:r>
      <w:proofErr w:type="spellEnd"/>
      <w:r>
        <w:rPr>
          <w:lang w:val="en-GB"/>
        </w:rPr>
        <w:t xml:space="preserve">. MSF Activities. </w:t>
      </w:r>
      <w:hyperlink r:id="rId14" w:history="1">
        <w:r w:rsidRPr="00EA7AF8">
          <w:rPr>
            <w:rStyle w:val="Hyperlink"/>
            <w:lang w:val="en-GB"/>
          </w:rPr>
          <w:t>http://www.msf.org/en/msf-activities</w:t>
        </w:r>
      </w:hyperlink>
      <w:r>
        <w:rPr>
          <w:lang w:val="en-GB"/>
        </w:rPr>
        <w:t>. Consulted on: 5-7-2016.</w:t>
      </w:r>
    </w:p>
    <w:p w14:paraId="4D28433B" w14:textId="77777777" w:rsidR="003F26E4" w:rsidRPr="00A95F46" w:rsidRDefault="003F26E4" w:rsidP="00D0618D">
      <w:pPr>
        <w:spacing w:after="60" w:line="240" w:lineRule="auto"/>
        <w:ind w:left="705" w:hanging="705"/>
        <w:rPr>
          <w:lang w:val="en-GB"/>
        </w:rPr>
      </w:pPr>
      <w:r w:rsidRPr="00A95F46">
        <w:rPr>
          <w:lang w:val="en-GB"/>
        </w:rPr>
        <w:t>[</w:t>
      </w:r>
      <w:r>
        <w:rPr>
          <w:lang w:val="en-GB"/>
        </w:rPr>
        <w:t>17</w:t>
      </w:r>
      <w:r w:rsidRPr="00A95F46">
        <w:rPr>
          <w:lang w:val="en-GB"/>
        </w:rPr>
        <w:t xml:space="preserve">] </w:t>
      </w:r>
      <w:r>
        <w:rPr>
          <w:lang w:val="en-GB"/>
        </w:rPr>
        <w:tab/>
        <w:t>Systems for Improved Access Pharmaceuticals and Services (SIAPS). Annual R</w:t>
      </w:r>
      <w:r w:rsidRPr="00A95F46">
        <w:rPr>
          <w:lang w:val="en-GB"/>
        </w:rPr>
        <w:t>eport</w:t>
      </w:r>
      <w:r>
        <w:rPr>
          <w:lang w:val="en-GB"/>
        </w:rPr>
        <w:t>: Program Year 4.</w:t>
      </w:r>
      <w:r w:rsidRPr="00A95F46">
        <w:rPr>
          <w:lang w:val="en-GB"/>
        </w:rPr>
        <w:t xml:space="preserve"> </w:t>
      </w:r>
      <w:r>
        <w:rPr>
          <w:lang w:val="en-GB"/>
        </w:rPr>
        <w:t>Arlington, VA: Management Sciences for Health, 2015.</w:t>
      </w:r>
    </w:p>
    <w:p w14:paraId="1CA7FC36" w14:textId="77777777" w:rsidR="003F26E4" w:rsidRPr="00A95F46" w:rsidRDefault="003F26E4" w:rsidP="00D0618D">
      <w:pPr>
        <w:spacing w:after="60" w:line="240" w:lineRule="auto"/>
        <w:ind w:left="705" w:hanging="705"/>
        <w:rPr>
          <w:lang w:val="en-GB"/>
        </w:rPr>
      </w:pPr>
      <w:r w:rsidRPr="00A95F46">
        <w:rPr>
          <w:lang w:val="en-GB"/>
        </w:rPr>
        <w:t>[</w:t>
      </w:r>
      <w:r>
        <w:rPr>
          <w:lang w:val="en-GB"/>
        </w:rPr>
        <w:t>18</w:t>
      </w:r>
      <w:r w:rsidRPr="00A95F46">
        <w:rPr>
          <w:lang w:val="en-GB"/>
        </w:rPr>
        <w:t xml:space="preserve">] </w:t>
      </w:r>
      <w:r>
        <w:rPr>
          <w:lang w:val="en-GB"/>
        </w:rPr>
        <w:tab/>
        <w:t>Strengthening Pharmaceutical Systems (SPS). Supporting Pharmacovigilance in Developing Countries: The Systems Perspective. Arlington, VA: Management Sciences for Health, 2009.</w:t>
      </w:r>
    </w:p>
    <w:p w14:paraId="73836BEC" w14:textId="77777777" w:rsidR="003F26E4" w:rsidRPr="00A95F46" w:rsidRDefault="003F26E4" w:rsidP="00D0618D">
      <w:pPr>
        <w:spacing w:after="60" w:line="240" w:lineRule="auto"/>
        <w:ind w:left="705" w:hanging="705"/>
        <w:rPr>
          <w:lang w:val="en-GB"/>
        </w:rPr>
      </w:pPr>
      <w:r w:rsidRPr="00A95F46">
        <w:rPr>
          <w:lang w:val="en-GB"/>
        </w:rPr>
        <w:t>[</w:t>
      </w:r>
      <w:r>
        <w:rPr>
          <w:lang w:val="en-GB"/>
        </w:rPr>
        <w:t>19</w:t>
      </w:r>
      <w:r w:rsidRPr="00A95F46">
        <w:rPr>
          <w:lang w:val="en-GB"/>
        </w:rPr>
        <w:t xml:space="preserve">] </w:t>
      </w:r>
      <w:r>
        <w:rPr>
          <w:lang w:val="en-GB"/>
        </w:rPr>
        <w:tab/>
        <w:t xml:space="preserve">Systems for Improved Access Pharmaceuticals and Services (SIAPS). Tools and Guidance. </w:t>
      </w:r>
      <w:hyperlink r:id="rId15" w:history="1">
        <w:r w:rsidRPr="00EA7AF8">
          <w:rPr>
            <w:rStyle w:val="Hyperlink"/>
            <w:lang w:val="en-GB"/>
          </w:rPr>
          <w:t>http://siapsprogram.org/tools-and-guidance/</w:t>
        </w:r>
      </w:hyperlink>
      <w:r>
        <w:rPr>
          <w:lang w:val="en-GB"/>
        </w:rPr>
        <w:t>. Consulted on 5-7-2016.</w:t>
      </w:r>
    </w:p>
    <w:p w14:paraId="13D02171" w14:textId="77777777" w:rsidR="003F26E4" w:rsidRDefault="003F26E4" w:rsidP="00D0618D">
      <w:pPr>
        <w:spacing w:after="60" w:line="240" w:lineRule="auto"/>
        <w:ind w:left="705" w:hanging="705"/>
        <w:rPr>
          <w:lang w:val="en-GB"/>
        </w:rPr>
      </w:pPr>
      <w:r w:rsidRPr="00A95F46">
        <w:rPr>
          <w:lang w:val="en-GB"/>
        </w:rPr>
        <w:t>[</w:t>
      </w:r>
      <w:r>
        <w:rPr>
          <w:lang w:val="en-GB"/>
        </w:rPr>
        <w:t>20</w:t>
      </w:r>
      <w:r w:rsidRPr="00A95F46">
        <w:rPr>
          <w:lang w:val="en-GB"/>
        </w:rPr>
        <w:t xml:space="preserve">] </w:t>
      </w:r>
      <w:r>
        <w:rPr>
          <w:lang w:val="en-GB"/>
        </w:rPr>
        <w:tab/>
        <w:t xml:space="preserve">Healthy </w:t>
      </w:r>
      <w:proofErr w:type="spellStart"/>
      <w:r>
        <w:rPr>
          <w:lang w:val="en-GB"/>
        </w:rPr>
        <w:t>Entrepeneurs</w:t>
      </w:r>
      <w:proofErr w:type="spellEnd"/>
      <w:r>
        <w:rPr>
          <w:lang w:val="en-GB"/>
        </w:rPr>
        <w:t xml:space="preserve">. Our Way of Working. </w:t>
      </w:r>
      <w:hyperlink r:id="rId16" w:history="1">
        <w:r w:rsidRPr="00EA7AF8">
          <w:rPr>
            <w:rStyle w:val="Hyperlink"/>
            <w:lang w:val="en-GB"/>
          </w:rPr>
          <w:t>http://www.healthyentrepreneurs.nl/our-way-of-working/</w:t>
        </w:r>
      </w:hyperlink>
      <w:r>
        <w:rPr>
          <w:lang w:val="en-GB"/>
        </w:rPr>
        <w:t>. Consulted on 5-7-2016.</w:t>
      </w:r>
    </w:p>
    <w:p w14:paraId="329FA453" w14:textId="77777777" w:rsidR="003F26E4" w:rsidRPr="00A95F46" w:rsidRDefault="003F26E4" w:rsidP="00D0618D">
      <w:pPr>
        <w:spacing w:after="60" w:line="240" w:lineRule="auto"/>
        <w:ind w:left="705" w:hanging="705"/>
        <w:rPr>
          <w:lang w:val="en-GB"/>
        </w:rPr>
      </w:pPr>
      <w:r>
        <w:rPr>
          <w:lang w:val="en-GB"/>
        </w:rPr>
        <w:lastRenderedPageBreak/>
        <w:t>[21]</w:t>
      </w:r>
      <w:r>
        <w:rPr>
          <w:lang w:val="en-GB"/>
        </w:rPr>
        <w:tab/>
        <w:t xml:space="preserve">World Health Organisation. </w:t>
      </w:r>
      <w:r w:rsidRPr="00A95F46">
        <w:rPr>
          <w:lang w:val="en-GB"/>
        </w:rPr>
        <w:t>Reporting and learnin</w:t>
      </w:r>
      <w:r>
        <w:rPr>
          <w:lang w:val="en-GB"/>
        </w:rPr>
        <w:t>g systems for medication errors: the role of pharmacovigilance centres.</w:t>
      </w:r>
      <w:r w:rsidRPr="00A95F46">
        <w:rPr>
          <w:lang w:val="en-GB"/>
        </w:rPr>
        <w:t xml:space="preserve"> </w:t>
      </w:r>
      <w:r>
        <w:rPr>
          <w:lang w:val="en-GB"/>
        </w:rPr>
        <w:t>Geneva: WHO, 2014: p. 21.</w:t>
      </w:r>
    </w:p>
    <w:sectPr w:rsidR="003F26E4" w:rsidRPr="00A95F46" w:rsidSect="00001572">
      <w:type w:val="continuous"/>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EA06844" w14:textId="77777777" w:rsidR="00895902" w:rsidRDefault="00895902" w:rsidP="00567972">
      <w:pPr>
        <w:spacing w:after="0" w:line="240" w:lineRule="auto"/>
      </w:pPr>
      <w:r>
        <w:separator/>
      </w:r>
    </w:p>
  </w:endnote>
  <w:endnote w:type="continuationSeparator" w:id="0">
    <w:p w14:paraId="53E034C1" w14:textId="77777777" w:rsidR="00895902" w:rsidRDefault="00895902" w:rsidP="0056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0690" w14:textId="77777777" w:rsidR="003F26E4" w:rsidRDefault="00895902">
    <w:pPr>
      <w:pStyle w:val="Voettekst"/>
      <w:jc w:val="center"/>
    </w:pPr>
    <w:r>
      <w:fldChar w:fldCharType="begin"/>
    </w:r>
    <w:r>
      <w:instrText>PAGE   \* MERGEFORMAT</w:instrText>
    </w:r>
    <w:r>
      <w:fldChar w:fldCharType="separate"/>
    </w:r>
    <w:r w:rsidR="006A0584">
      <w:rPr>
        <w:noProof/>
      </w:rPr>
      <w:t>1</w:t>
    </w:r>
    <w:r>
      <w:rPr>
        <w:noProof/>
      </w:rPr>
      <w:fldChar w:fldCharType="end"/>
    </w:r>
  </w:p>
  <w:p w14:paraId="1600A944" w14:textId="77777777" w:rsidR="003F26E4" w:rsidRDefault="003F26E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E217389" w14:textId="77777777" w:rsidR="00895902" w:rsidRDefault="00895902" w:rsidP="00567972">
      <w:pPr>
        <w:spacing w:after="0" w:line="240" w:lineRule="auto"/>
      </w:pPr>
      <w:r>
        <w:separator/>
      </w:r>
    </w:p>
  </w:footnote>
  <w:footnote w:type="continuationSeparator" w:id="0">
    <w:p w14:paraId="51EBB94F" w14:textId="77777777" w:rsidR="00895902" w:rsidRDefault="00895902" w:rsidP="005679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6C7181A"/>
    <w:multiLevelType w:val="hybridMultilevel"/>
    <w:tmpl w:val="A48AD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1FA25E8"/>
    <w:multiLevelType w:val="hybridMultilevel"/>
    <w:tmpl w:val="DB0C1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5B50E79"/>
    <w:multiLevelType w:val="hybridMultilevel"/>
    <w:tmpl w:val="E47872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CF40C1D"/>
    <w:multiLevelType w:val="hybridMultilevel"/>
    <w:tmpl w:val="ACBAF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782"/>
    <w:rsid w:val="00001572"/>
    <w:rsid w:val="00011A47"/>
    <w:rsid w:val="00015BEB"/>
    <w:rsid w:val="00016680"/>
    <w:rsid w:val="00017374"/>
    <w:rsid w:val="00022834"/>
    <w:rsid w:val="00026D1F"/>
    <w:rsid w:val="0003236D"/>
    <w:rsid w:val="000336B6"/>
    <w:rsid w:val="0003547C"/>
    <w:rsid w:val="00035C79"/>
    <w:rsid w:val="00050A5E"/>
    <w:rsid w:val="000561BA"/>
    <w:rsid w:val="000633DD"/>
    <w:rsid w:val="00080424"/>
    <w:rsid w:val="0008083F"/>
    <w:rsid w:val="00085F33"/>
    <w:rsid w:val="00086275"/>
    <w:rsid w:val="000A27BC"/>
    <w:rsid w:val="000A4FD2"/>
    <w:rsid w:val="000A5D22"/>
    <w:rsid w:val="000A7499"/>
    <w:rsid w:val="000B140A"/>
    <w:rsid w:val="000D662B"/>
    <w:rsid w:val="000D7576"/>
    <w:rsid w:val="000E1E65"/>
    <w:rsid w:val="000E5FAA"/>
    <w:rsid w:val="000F6726"/>
    <w:rsid w:val="000F7E5B"/>
    <w:rsid w:val="00116052"/>
    <w:rsid w:val="0011720F"/>
    <w:rsid w:val="00132E38"/>
    <w:rsid w:val="0013732B"/>
    <w:rsid w:val="00137CA4"/>
    <w:rsid w:val="00137DC0"/>
    <w:rsid w:val="00141164"/>
    <w:rsid w:val="00145065"/>
    <w:rsid w:val="00146008"/>
    <w:rsid w:val="0015090D"/>
    <w:rsid w:val="0015657E"/>
    <w:rsid w:val="00156AFA"/>
    <w:rsid w:val="001601B7"/>
    <w:rsid w:val="00195DC4"/>
    <w:rsid w:val="0019616E"/>
    <w:rsid w:val="00196567"/>
    <w:rsid w:val="001A6721"/>
    <w:rsid w:val="001B2DD3"/>
    <w:rsid w:val="001C10EC"/>
    <w:rsid w:val="001C1862"/>
    <w:rsid w:val="001D2769"/>
    <w:rsid w:val="001D6E4D"/>
    <w:rsid w:val="001E1893"/>
    <w:rsid w:val="0020341D"/>
    <w:rsid w:val="00220F4C"/>
    <w:rsid w:val="0022109F"/>
    <w:rsid w:val="00233B20"/>
    <w:rsid w:val="0024130E"/>
    <w:rsid w:val="00246781"/>
    <w:rsid w:val="00254009"/>
    <w:rsid w:val="00256DBA"/>
    <w:rsid w:val="00264431"/>
    <w:rsid w:val="0026500D"/>
    <w:rsid w:val="00266CD2"/>
    <w:rsid w:val="00266DF3"/>
    <w:rsid w:val="00275362"/>
    <w:rsid w:val="00283EF1"/>
    <w:rsid w:val="002873E0"/>
    <w:rsid w:val="00294658"/>
    <w:rsid w:val="00296993"/>
    <w:rsid w:val="002A0143"/>
    <w:rsid w:val="002A24C8"/>
    <w:rsid w:val="002A4F03"/>
    <w:rsid w:val="002B048C"/>
    <w:rsid w:val="002B3D67"/>
    <w:rsid w:val="002C6838"/>
    <w:rsid w:val="002D02FD"/>
    <w:rsid w:val="002D05C9"/>
    <w:rsid w:val="002E4DB4"/>
    <w:rsid w:val="002F204A"/>
    <w:rsid w:val="002F27D2"/>
    <w:rsid w:val="002F4E09"/>
    <w:rsid w:val="003023BC"/>
    <w:rsid w:val="00303279"/>
    <w:rsid w:val="003033F5"/>
    <w:rsid w:val="00311590"/>
    <w:rsid w:val="00320714"/>
    <w:rsid w:val="00327311"/>
    <w:rsid w:val="003321A3"/>
    <w:rsid w:val="0033592D"/>
    <w:rsid w:val="00336B9B"/>
    <w:rsid w:val="00340810"/>
    <w:rsid w:val="0034164A"/>
    <w:rsid w:val="003550C7"/>
    <w:rsid w:val="003629F1"/>
    <w:rsid w:val="00364131"/>
    <w:rsid w:val="003754B4"/>
    <w:rsid w:val="003974E9"/>
    <w:rsid w:val="003A195F"/>
    <w:rsid w:val="003A413D"/>
    <w:rsid w:val="003C14E4"/>
    <w:rsid w:val="003C7914"/>
    <w:rsid w:val="003D5F20"/>
    <w:rsid w:val="003E2847"/>
    <w:rsid w:val="003E7953"/>
    <w:rsid w:val="003F26E4"/>
    <w:rsid w:val="003F27CF"/>
    <w:rsid w:val="003F2FBA"/>
    <w:rsid w:val="003F6E5F"/>
    <w:rsid w:val="00402420"/>
    <w:rsid w:val="00404FE9"/>
    <w:rsid w:val="004055FD"/>
    <w:rsid w:val="004074E5"/>
    <w:rsid w:val="004165CC"/>
    <w:rsid w:val="00451A24"/>
    <w:rsid w:val="004621E5"/>
    <w:rsid w:val="00465705"/>
    <w:rsid w:val="0047334D"/>
    <w:rsid w:val="00477542"/>
    <w:rsid w:val="004858A9"/>
    <w:rsid w:val="00485C03"/>
    <w:rsid w:val="004A2D5F"/>
    <w:rsid w:val="004B0228"/>
    <w:rsid w:val="004B50CE"/>
    <w:rsid w:val="004B7B8A"/>
    <w:rsid w:val="004D16D5"/>
    <w:rsid w:val="004E599C"/>
    <w:rsid w:val="004F1E3E"/>
    <w:rsid w:val="004F1FEF"/>
    <w:rsid w:val="004F2D7C"/>
    <w:rsid w:val="004F5D75"/>
    <w:rsid w:val="004F6616"/>
    <w:rsid w:val="005004DB"/>
    <w:rsid w:val="00523AF0"/>
    <w:rsid w:val="00540739"/>
    <w:rsid w:val="00540D58"/>
    <w:rsid w:val="005434C6"/>
    <w:rsid w:val="00543E61"/>
    <w:rsid w:val="005505C6"/>
    <w:rsid w:val="0055085F"/>
    <w:rsid w:val="005524C4"/>
    <w:rsid w:val="00561803"/>
    <w:rsid w:val="00566038"/>
    <w:rsid w:val="00567972"/>
    <w:rsid w:val="00575BB4"/>
    <w:rsid w:val="0057786E"/>
    <w:rsid w:val="00583F54"/>
    <w:rsid w:val="00591632"/>
    <w:rsid w:val="005A745E"/>
    <w:rsid w:val="005B058A"/>
    <w:rsid w:val="005B6EC1"/>
    <w:rsid w:val="005C018B"/>
    <w:rsid w:val="005C1901"/>
    <w:rsid w:val="005C33D6"/>
    <w:rsid w:val="005C643A"/>
    <w:rsid w:val="005E3811"/>
    <w:rsid w:val="005E66E6"/>
    <w:rsid w:val="005F0273"/>
    <w:rsid w:val="005F21D8"/>
    <w:rsid w:val="005F3224"/>
    <w:rsid w:val="006014D2"/>
    <w:rsid w:val="00602C76"/>
    <w:rsid w:val="00613ECD"/>
    <w:rsid w:val="00627A42"/>
    <w:rsid w:val="006459BB"/>
    <w:rsid w:val="00656E4D"/>
    <w:rsid w:val="0065737C"/>
    <w:rsid w:val="006578CC"/>
    <w:rsid w:val="0066406F"/>
    <w:rsid w:val="00664847"/>
    <w:rsid w:val="00674AFC"/>
    <w:rsid w:val="00683A9C"/>
    <w:rsid w:val="0068615D"/>
    <w:rsid w:val="0068700F"/>
    <w:rsid w:val="00691B1C"/>
    <w:rsid w:val="00696F28"/>
    <w:rsid w:val="006A0584"/>
    <w:rsid w:val="006B559D"/>
    <w:rsid w:val="006D67EA"/>
    <w:rsid w:val="006E0A97"/>
    <w:rsid w:val="006E4458"/>
    <w:rsid w:val="006F0AF1"/>
    <w:rsid w:val="006F10BA"/>
    <w:rsid w:val="006F44BC"/>
    <w:rsid w:val="006F7065"/>
    <w:rsid w:val="00700D23"/>
    <w:rsid w:val="00707DDA"/>
    <w:rsid w:val="00710426"/>
    <w:rsid w:val="007129CF"/>
    <w:rsid w:val="00716098"/>
    <w:rsid w:val="007203BD"/>
    <w:rsid w:val="007236E2"/>
    <w:rsid w:val="00723E86"/>
    <w:rsid w:val="00724C65"/>
    <w:rsid w:val="00725139"/>
    <w:rsid w:val="0072666E"/>
    <w:rsid w:val="007318AB"/>
    <w:rsid w:val="007335AB"/>
    <w:rsid w:val="0073447C"/>
    <w:rsid w:val="00754812"/>
    <w:rsid w:val="007853F4"/>
    <w:rsid w:val="00790C4D"/>
    <w:rsid w:val="007918C7"/>
    <w:rsid w:val="007924C5"/>
    <w:rsid w:val="007957B0"/>
    <w:rsid w:val="007961FB"/>
    <w:rsid w:val="007A2D27"/>
    <w:rsid w:val="007B30B8"/>
    <w:rsid w:val="007B31B1"/>
    <w:rsid w:val="007C3EE2"/>
    <w:rsid w:val="007D189F"/>
    <w:rsid w:val="007F5B20"/>
    <w:rsid w:val="007F70A3"/>
    <w:rsid w:val="00800302"/>
    <w:rsid w:val="00804068"/>
    <w:rsid w:val="00811969"/>
    <w:rsid w:val="00816EB9"/>
    <w:rsid w:val="00817AC8"/>
    <w:rsid w:val="00822943"/>
    <w:rsid w:val="00831753"/>
    <w:rsid w:val="00834BF0"/>
    <w:rsid w:val="00837230"/>
    <w:rsid w:val="008475E1"/>
    <w:rsid w:val="008545AD"/>
    <w:rsid w:val="00860B0C"/>
    <w:rsid w:val="00861B20"/>
    <w:rsid w:val="00861CD1"/>
    <w:rsid w:val="00874401"/>
    <w:rsid w:val="00875CD3"/>
    <w:rsid w:val="00881963"/>
    <w:rsid w:val="00883F89"/>
    <w:rsid w:val="0089434F"/>
    <w:rsid w:val="00895902"/>
    <w:rsid w:val="008A4B04"/>
    <w:rsid w:val="008B26DE"/>
    <w:rsid w:val="008B2892"/>
    <w:rsid w:val="008B5687"/>
    <w:rsid w:val="008B576D"/>
    <w:rsid w:val="008C40DE"/>
    <w:rsid w:val="008C6260"/>
    <w:rsid w:val="008C7461"/>
    <w:rsid w:val="008C7753"/>
    <w:rsid w:val="008C7CC4"/>
    <w:rsid w:val="008D14F2"/>
    <w:rsid w:val="008D3C1D"/>
    <w:rsid w:val="008D55AF"/>
    <w:rsid w:val="008D75BA"/>
    <w:rsid w:val="008E1FA6"/>
    <w:rsid w:val="008E4217"/>
    <w:rsid w:val="008E4A7D"/>
    <w:rsid w:val="008F2E82"/>
    <w:rsid w:val="008F75BD"/>
    <w:rsid w:val="0090302E"/>
    <w:rsid w:val="0091037B"/>
    <w:rsid w:val="009138E0"/>
    <w:rsid w:val="0091563D"/>
    <w:rsid w:val="00920536"/>
    <w:rsid w:val="00925706"/>
    <w:rsid w:val="00927DF0"/>
    <w:rsid w:val="00940EEE"/>
    <w:rsid w:val="0094530D"/>
    <w:rsid w:val="00945FE2"/>
    <w:rsid w:val="00951C2D"/>
    <w:rsid w:val="00957E3C"/>
    <w:rsid w:val="00965510"/>
    <w:rsid w:val="00966566"/>
    <w:rsid w:val="00980A46"/>
    <w:rsid w:val="00986ACC"/>
    <w:rsid w:val="00990375"/>
    <w:rsid w:val="009920F0"/>
    <w:rsid w:val="0099231E"/>
    <w:rsid w:val="009A614F"/>
    <w:rsid w:val="009B7DF6"/>
    <w:rsid w:val="009C767C"/>
    <w:rsid w:val="009D3F09"/>
    <w:rsid w:val="009D5D00"/>
    <w:rsid w:val="009D6063"/>
    <w:rsid w:val="009E447F"/>
    <w:rsid w:val="009E510A"/>
    <w:rsid w:val="009F38C2"/>
    <w:rsid w:val="00A0033F"/>
    <w:rsid w:val="00A02772"/>
    <w:rsid w:val="00A04974"/>
    <w:rsid w:val="00A158A0"/>
    <w:rsid w:val="00A270F7"/>
    <w:rsid w:val="00A43840"/>
    <w:rsid w:val="00A51D7F"/>
    <w:rsid w:val="00A5591E"/>
    <w:rsid w:val="00A66496"/>
    <w:rsid w:val="00A82811"/>
    <w:rsid w:val="00A832FC"/>
    <w:rsid w:val="00A83A28"/>
    <w:rsid w:val="00A92451"/>
    <w:rsid w:val="00A94BA8"/>
    <w:rsid w:val="00A95F46"/>
    <w:rsid w:val="00A962DE"/>
    <w:rsid w:val="00AA1902"/>
    <w:rsid w:val="00AA483A"/>
    <w:rsid w:val="00AA7095"/>
    <w:rsid w:val="00AA73B9"/>
    <w:rsid w:val="00AB3951"/>
    <w:rsid w:val="00AB4FA9"/>
    <w:rsid w:val="00AC075C"/>
    <w:rsid w:val="00B23A9E"/>
    <w:rsid w:val="00B23EC9"/>
    <w:rsid w:val="00B31C53"/>
    <w:rsid w:val="00B41121"/>
    <w:rsid w:val="00B4317B"/>
    <w:rsid w:val="00B4765C"/>
    <w:rsid w:val="00B476AF"/>
    <w:rsid w:val="00B47703"/>
    <w:rsid w:val="00B5216F"/>
    <w:rsid w:val="00B525B5"/>
    <w:rsid w:val="00B60C84"/>
    <w:rsid w:val="00B63772"/>
    <w:rsid w:val="00B6378A"/>
    <w:rsid w:val="00B64B5A"/>
    <w:rsid w:val="00B653C8"/>
    <w:rsid w:val="00B71BD9"/>
    <w:rsid w:val="00B72B67"/>
    <w:rsid w:val="00B7539A"/>
    <w:rsid w:val="00B7788F"/>
    <w:rsid w:val="00BA29CF"/>
    <w:rsid w:val="00BA56D8"/>
    <w:rsid w:val="00BA5981"/>
    <w:rsid w:val="00BB2E2A"/>
    <w:rsid w:val="00BB623F"/>
    <w:rsid w:val="00BC3DBA"/>
    <w:rsid w:val="00BD4C87"/>
    <w:rsid w:val="00BD6F81"/>
    <w:rsid w:val="00BF027A"/>
    <w:rsid w:val="00C07006"/>
    <w:rsid w:val="00C1114D"/>
    <w:rsid w:val="00C1205D"/>
    <w:rsid w:val="00C150B0"/>
    <w:rsid w:val="00C1625A"/>
    <w:rsid w:val="00C17C41"/>
    <w:rsid w:val="00C27D99"/>
    <w:rsid w:val="00C320B3"/>
    <w:rsid w:val="00C3723C"/>
    <w:rsid w:val="00C40CF0"/>
    <w:rsid w:val="00C41C22"/>
    <w:rsid w:val="00C4566E"/>
    <w:rsid w:val="00C52036"/>
    <w:rsid w:val="00C520A2"/>
    <w:rsid w:val="00C7045C"/>
    <w:rsid w:val="00C824F2"/>
    <w:rsid w:val="00C8268F"/>
    <w:rsid w:val="00C95B3B"/>
    <w:rsid w:val="00CA1662"/>
    <w:rsid w:val="00CA28C5"/>
    <w:rsid w:val="00CA5B77"/>
    <w:rsid w:val="00CA7569"/>
    <w:rsid w:val="00CB236D"/>
    <w:rsid w:val="00CB6850"/>
    <w:rsid w:val="00CC6AFF"/>
    <w:rsid w:val="00CC70B3"/>
    <w:rsid w:val="00CC7562"/>
    <w:rsid w:val="00CD09E9"/>
    <w:rsid w:val="00CD15CC"/>
    <w:rsid w:val="00CE3DBE"/>
    <w:rsid w:val="00D02782"/>
    <w:rsid w:val="00D044D9"/>
    <w:rsid w:val="00D04AE5"/>
    <w:rsid w:val="00D0618D"/>
    <w:rsid w:val="00D106AE"/>
    <w:rsid w:val="00D130C4"/>
    <w:rsid w:val="00D13FCB"/>
    <w:rsid w:val="00D33D85"/>
    <w:rsid w:val="00D37029"/>
    <w:rsid w:val="00D40076"/>
    <w:rsid w:val="00D42925"/>
    <w:rsid w:val="00D52232"/>
    <w:rsid w:val="00D52E45"/>
    <w:rsid w:val="00D552F6"/>
    <w:rsid w:val="00D62EF6"/>
    <w:rsid w:val="00D72377"/>
    <w:rsid w:val="00D902A8"/>
    <w:rsid w:val="00DB3B8E"/>
    <w:rsid w:val="00DC1AD3"/>
    <w:rsid w:val="00DE2557"/>
    <w:rsid w:val="00DE3D78"/>
    <w:rsid w:val="00DF0D68"/>
    <w:rsid w:val="00E003F3"/>
    <w:rsid w:val="00E02C8D"/>
    <w:rsid w:val="00E149B7"/>
    <w:rsid w:val="00E1573B"/>
    <w:rsid w:val="00E169CF"/>
    <w:rsid w:val="00E5099B"/>
    <w:rsid w:val="00E54054"/>
    <w:rsid w:val="00E5590E"/>
    <w:rsid w:val="00E709E0"/>
    <w:rsid w:val="00E71F04"/>
    <w:rsid w:val="00E77171"/>
    <w:rsid w:val="00EA020B"/>
    <w:rsid w:val="00EA4A68"/>
    <w:rsid w:val="00EA529D"/>
    <w:rsid w:val="00EA7AF8"/>
    <w:rsid w:val="00EA7DF4"/>
    <w:rsid w:val="00EB0331"/>
    <w:rsid w:val="00EB3AA3"/>
    <w:rsid w:val="00EC3C14"/>
    <w:rsid w:val="00EC4D89"/>
    <w:rsid w:val="00ED200D"/>
    <w:rsid w:val="00ED4928"/>
    <w:rsid w:val="00ED5B86"/>
    <w:rsid w:val="00F04399"/>
    <w:rsid w:val="00F04F69"/>
    <w:rsid w:val="00F0795E"/>
    <w:rsid w:val="00F24305"/>
    <w:rsid w:val="00F325EA"/>
    <w:rsid w:val="00F359D4"/>
    <w:rsid w:val="00F40F41"/>
    <w:rsid w:val="00F444A1"/>
    <w:rsid w:val="00F46E35"/>
    <w:rsid w:val="00F51682"/>
    <w:rsid w:val="00F56DD2"/>
    <w:rsid w:val="00F619B6"/>
    <w:rsid w:val="00F61F37"/>
    <w:rsid w:val="00F6753A"/>
    <w:rsid w:val="00F67D79"/>
    <w:rsid w:val="00F7020A"/>
    <w:rsid w:val="00F80E1B"/>
    <w:rsid w:val="00F8248D"/>
    <w:rsid w:val="00F90BCD"/>
    <w:rsid w:val="00FA388C"/>
    <w:rsid w:val="00FA3D45"/>
    <w:rsid w:val="00FA3FA7"/>
    <w:rsid w:val="00FB0BA8"/>
    <w:rsid w:val="00FB2497"/>
    <w:rsid w:val="00FB6502"/>
    <w:rsid w:val="00FC67FB"/>
    <w:rsid w:val="00FC6F47"/>
    <w:rsid w:val="00FD5F49"/>
    <w:rsid w:val="00FD6FFA"/>
    <w:rsid w:val="00FE4B72"/>
    <w:rsid w:val="00FF3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DFAB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27D99"/>
    <w:pPr>
      <w:spacing w:after="160" w:line="259" w:lineRule="auto"/>
    </w:pPr>
    <w:rPr>
      <w:sz w:val="22"/>
      <w:szCs w:val="22"/>
      <w:lang w:eastAsia="en-US"/>
    </w:rPr>
  </w:style>
  <w:style w:type="paragraph" w:styleId="Kop1">
    <w:name w:val="heading 1"/>
    <w:basedOn w:val="Standaard"/>
    <w:next w:val="Standaard"/>
    <w:link w:val="Kop1Teken"/>
    <w:uiPriority w:val="99"/>
    <w:qFormat/>
    <w:rsid w:val="006E0A97"/>
    <w:pPr>
      <w:keepNext/>
      <w:keepLines/>
      <w:spacing w:before="240" w:after="0"/>
      <w:outlineLvl w:val="0"/>
    </w:pPr>
    <w:rPr>
      <w:rFonts w:ascii="Calibri Light" w:eastAsia="Times New Roman" w:hAnsi="Calibri Light"/>
      <w:color w:val="2E74B5"/>
      <w:sz w:val="32"/>
      <w:szCs w:val="32"/>
    </w:rPr>
  </w:style>
  <w:style w:type="paragraph" w:styleId="Kop2">
    <w:name w:val="heading 2"/>
    <w:basedOn w:val="Standaard"/>
    <w:next w:val="Standaard"/>
    <w:link w:val="Kop2Teken"/>
    <w:uiPriority w:val="99"/>
    <w:qFormat/>
    <w:rsid w:val="00D04AE5"/>
    <w:pPr>
      <w:keepNext/>
      <w:keepLines/>
      <w:spacing w:before="40" w:after="0"/>
      <w:outlineLvl w:val="1"/>
    </w:pPr>
    <w:rPr>
      <w:rFonts w:ascii="Calibri Light" w:eastAsia="Times New Roman" w:hAnsi="Calibri Light"/>
      <w:color w:val="2E74B5"/>
      <w:sz w:val="26"/>
      <w:szCs w:val="26"/>
    </w:rPr>
  </w:style>
  <w:style w:type="paragraph" w:styleId="Kop3">
    <w:name w:val="heading 3"/>
    <w:basedOn w:val="Standaard"/>
    <w:next w:val="Standaard"/>
    <w:link w:val="Kop3Teken"/>
    <w:uiPriority w:val="99"/>
    <w:qFormat/>
    <w:rsid w:val="00D37029"/>
    <w:pPr>
      <w:keepNext/>
      <w:keepLines/>
      <w:spacing w:before="40" w:after="0"/>
      <w:outlineLvl w:val="2"/>
    </w:pPr>
    <w:rPr>
      <w:rFonts w:ascii="Calibri Light" w:eastAsia="Times New Roman" w:hAnsi="Calibri Light"/>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9"/>
    <w:locked/>
    <w:rsid w:val="006E0A97"/>
    <w:rPr>
      <w:rFonts w:ascii="Calibri Light" w:hAnsi="Calibri Light" w:cs="Times New Roman"/>
      <w:color w:val="2E74B5"/>
      <w:sz w:val="32"/>
      <w:szCs w:val="32"/>
    </w:rPr>
  </w:style>
  <w:style w:type="character" w:customStyle="1" w:styleId="Kop2Teken">
    <w:name w:val="Kop 2 Teken"/>
    <w:link w:val="Kop2"/>
    <w:uiPriority w:val="99"/>
    <w:locked/>
    <w:rsid w:val="00D04AE5"/>
    <w:rPr>
      <w:rFonts w:ascii="Calibri Light" w:hAnsi="Calibri Light" w:cs="Times New Roman"/>
      <w:color w:val="2E74B5"/>
      <w:sz w:val="26"/>
      <w:szCs w:val="26"/>
    </w:rPr>
  </w:style>
  <w:style w:type="character" w:customStyle="1" w:styleId="Kop3Teken">
    <w:name w:val="Kop 3 Teken"/>
    <w:link w:val="Kop3"/>
    <w:uiPriority w:val="99"/>
    <w:locked/>
    <w:rsid w:val="00D37029"/>
    <w:rPr>
      <w:rFonts w:ascii="Calibri Light" w:hAnsi="Calibri Light" w:cs="Times New Roman"/>
      <w:color w:val="1F4D78"/>
      <w:sz w:val="24"/>
      <w:szCs w:val="24"/>
    </w:rPr>
  </w:style>
  <w:style w:type="character" w:styleId="Verwijzingopmerking">
    <w:name w:val="annotation reference"/>
    <w:uiPriority w:val="99"/>
    <w:semiHidden/>
    <w:rsid w:val="003A413D"/>
    <w:rPr>
      <w:rFonts w:cs="Times New Roman"/>
      <w:sz w:val="16"/>
      <w:szCs w:val="16"/>
    </w:rPr>
  </w:style>
  <w:style w:type="paragraph" w:styleId="Tekstopmerking">
    <w:name w:val="annotation text"/>
    <w:basedOn w:val="Standaard"/>
    <w:link w:val="TekstopmerkingTeken"/>
    <w:uiPriority w:val="99"/>
    <w:semiHidden/>
    <w:rsid w:val="003A413D"/>
    <w:rPr>
      <w:sz w:val="20"/>
      <w:szCs w:val="20"/>
    </w:rPr>
  </w:style>
  <w:style w:type="character" w:customStyle="1" w:styleId="TekstopmerkingTeken">
    <w:name w:val="Tekst opmerking Teken"/>
    <w:link w:val="Tekstopmerking"/>
    <w:uiPriority w:val="99"/>
    <w:semiHidden/>
    <w:locked/>
    <w:rPr>
      <w:rFonts w:cs="Times New Roman"/>
      <w:sz w:val="20"/>
      <w:szCs w:val="20"/>
      <w:lang w:eastAsia="en-US"/>
    </w:rPr>
  </w:style>
  <w:style w:type="paragraph" w:styleId="Onderwerpvanopmerking">
    <w:name w:val="annotation subject"/>
    <w:basedOn w:val="Tekstopmerking"/>
    <w:next w:val="Tekstopmerking"/>
    <w:link w:val="OnderwerpvanopmerkingTeken"/>
    <w:uiPriority w:val="99"/>
    <w:semiHidden/>
    <w:rsid w:val="003A413D"/>
    <w:rPr>
      <w:b/>
      <w:bCs/>
    </w:rPr>
  </w:style>
  <w:style w:type="character" w:customStyle="1" w:styleId="OnderwerpvanopmerkingTeken">
    <w:name w:val="Onderwerp van opmerking Teken"/>
    <w:link w:val="Onderwerpvanopmerking"/>
    <w:uiPriority w:val="99"/>
    <w:semiHidden/>
    <w:locked/>
    <w:rPr>
      <w:rFonts w:cs="Times New Roman"/>
      <w:b/>
      <w:bCs/>
      <w:sz w:val="20"/>
      <w:szCs w:val="20"/>
      <w:lang w:eastAsia="en-US"/>
    </w:rPr>
  </w:style>
  <w:style w:type="paragraph" w:styleId="Ballontekst">
    <w:name w:val="Balloon Text"/>
    <w:basedOn w:val="Standaard"/>
    <w:link w:val="BallontekstTeken"/>
    <w:uiPriority w:val="99"/>
    <w:semiHidden/>
    <w:rsid w:val="003A413D"/>
    <w:rPr>
      <w:rFonts w:ascii="Tahoma" w:hAnsi="Tahoma" w:cs="Tahoma"/>
      <w:sz w:val="16"/>
      <w:szCs w:val="16"/>
    </w:rPr>
  </w:style>
  <w:style w:type="character" w:customStyle="1" w:styleId="BallontekstTeken">
    <w:name w:val="Ballontekst Teken"/>
    <w:link w:val="Ballontekst"/>
    <w:uiPriority w:val="99"/>
    <w:semiHidden/>
    <w:locked/>
    <w:rPr>
      <w:rFonts w:ascii="Times New Roman" w:hAnsi="Times New Roman" w:cs="Times New Roman"/>
      <w:sz w:val="2"/>
      <w:lang w:eastAsia="en-US"/>
    </w:rPr>
  </w:style>
  <w:style w:type="character" w:styleId="Hyperlink">
    <w:name w:val="Hyperlink"/>
    <w:uiPriority w:val="99"/>
    <w:rsid w:val="00C95B3B"/>
    <w:rPr>
      <w:rFonts w:cs="Times New Roman"/>
      <w:color w:val="0000FF"/>
      <w:u w:val="single"/>
    </w:rPr>
  </w:style>
  <w:style w:type="paragraph" w:styleId="Bibliografie">
    <w:name w:val="Bibliography"/>
    <w:basedOn w:val="Standaard"/>
    <w:next w:val="Standaard"/>
    <w:uiPriority w:val="99"/>
    <w:rsid w:val="007961FB"/>
  </w:style>
  <w:style w:type="character" w:styleId="GevolgdeHyperlink">
    <w:name w:val="FollowedHyperlink"/>
    <w:uiPriority w:val="99"/>
    <w:semiHidden/>
    <w:rsid w:val="00E5590E"/>
    <w:rPr>
      <w:rFonts w:cs="Times New Roman"/>
      <w:color w:val="800080"/>
      <w:u w:val="single"/>
    </w:rPr>
  </w:style>
  <w:style w:type="paragraph" w:styleId="Ondertitel">
    <w:name w:val="Subtitle"/>
    <w:basedOn w:val="Standaard"/>
    <w:next w:val="Standaard"/>
    <w:link w:val="OndertitelTeken"/>
    <w:uiPriority w:val="99"/>
    <w:qFormat/>
    <w:locked/>
    <w:rsid w:val="00FE4B72"/>
    <w:pPr>
      <w:numPr>
        <w:ilvl w:val="1"/>
      </w:numPr>
    </w:pPr>
    <w:rPr>
      <w:rFonts w:eastAsia="Times New Roman"/>
      <w:color w:val="5A5A5A"/>
      <w:spacing w:val="15"/>
    </w:rPr>
  </w:style>
  <w:style w:type="character" w:customStyle="1" w:styleId="OndertitelTeken">
    <w:name w:val="Ondertitel Teken"/>
    <w:link w:val="Ondertitel"/>
    <w:uiPriority w:val="99"/>
    <w:locked/>
    <w:rsid w:val="00FE4B72"/>
    <w:rPr>
      <w:rFonts w:ascii="Calibri" w:hAnsi="Calibri" w:cs="Times New Roman"/>
      <w:color w:val="5A5A5A"/>
      <w:spacing w:val="15"/>
      <w:lang w:eastAsia="en-US"/>
    </w:rPr>
  </w:style>
  <w:style w:type="table" w:styleId="Tabelraster">
    <w:name w:val="Table Grid"/>
    <w:basedOn w:val="Standaardtabel"/>
    <w:uiPriority w:val="99"/>
    <w:locked/>
    <w:rsid w:val="0062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4-accent51">
    <w:name w:val="Rastertabel 4 - accent 51"/>
    <w:uiPriority w:val="99"/>
    <w:rsid w:val="00627A4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Lijstalinea">
    <w:name w:val="List Paragraph"/>
    <w:basedOn w:val="Standaard"/>
    <w:uiPriority w:val="99"/>
    <w:qFormat/>
    <w:rsid w:val="00EC4D89"/>
    <w:pPr>
      <w:ind w:left="720"/>
      <w:contextualSpacing/>
    </w:pPr>
  </w:style>
  <w:style w:type="table" w:customStyle="1" w:styleId="Rastertabel4-Accent510">
    <w:name w:val="Rastertabel 4 - Accent 51"/>
    <w:uiPriority w:val="99"/>
    <w:rsid w:val="005C018B"/>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Koptekst">
    <w:name w:val="header"/>
    <w:basedOn w:val="Standaard"/>
    <w:link w:val="KoptekstTeken"/>
    <w:uiPriority w:val="99"/>
    <w:rsid w:val="00567972"/>
    <w:pPr>
      <w:tabs>
        <w:tab w:val="center" w:pos="4536"/>
        <w:tab w:val="right" w:pos="9072"/>
      </w:tabs>
      <w:spacing w:after="0" w:line="240" w:lineRule="auto"/>
    </w:pPr>
  </w:style>
  <w:style w:type="character" w:customStyle="1" w:styleId="KoptekstTeken">
    <w:name w:val="Koptekst Teken"/>
    <w:link w:val="Koptekst"/>
    <w:uiPriority w:val="99"/>
    <w:locked/>
    <w:rsid w:val="00567972"/>
    <w:rPr>
      <w:rFonts w:cs="Times New Roman"/>
      <w:lang w:eastAsia="en-US"/>
    </w:rPr>
  </w:style>
  <w:style w:type="paragraph" w:styleId="Voettekst">
    <w:name w:val="footer"/>
    <w:basedOn w:val="Standaard"/>
    <w:link w:val="VoettekstTeken"/>
    <w:uiPriority w:val="99"/>
    <w:rsid w:val="00567972"/>
    <w:pPr>
      <w:tabs>
        <w:tab w:val="center" w:pos="4536"/>
        <w:tab w:val="right" w:pos="9072"/>
      </w:tabs>
      <w:spacing w:after="0" w:line="240" w:lineRule="auto"/>
    </w:pPr>
  </w:style>
  <w:style w:type="character" w:customStyle="1" w:styleId="VoettekstTeken">
    <w:name w:val="Voettekst Teken"/>
    <w:link w:val="Voettekst"/>
    <w:uiPriority w:val="99"/>
    <w:locked/>
    <w:rsid w:val="00567972"/>
    <w:rPr>
      <w:rFonts w:cs="Times New Roman"/>
      <w:lang w:eastAsia="en-US"/>
    </w:rPr>
  </w:style>
  <w:style w:type="character" w:customStyle="1" w:styleId="publictextareafieldcontent">
    <w:name w:val="publictextareafieldcontent"/>
    <w:uiPriority w:val="99"/>
    <w:rsid w:val="002946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2313">
      <w:marLeft w:val="0"/>
      <w:marRight w:val="0"/>
      <w:marTop w:val="0"/>
      <w:marBottom w:val="0"/>
      <w:divBdr>
        <w:top w:val="none" w:sz="0" w:space="0" w:color="auto"/>
        <w:left w:val="none" w:sz="0" w:space="0" w:color="auto"/>
        <w:bottom w:val="none" w:sz="0" w:space="0" w:color="auto"/>
        <w:right w:val="none" w:sz="0" w:space="0" w:color="auto"/>
      </w:divBdr>
      <w:divsChild>
        <w:div w:id="174002316">
          <w:marLeft w:val="0"/>
          <w:marRight w:val="0"/>
          <w:marTop w:val="0"/>
          <w:marBottom w:val="0"/>
          <w:divBdr>
            <w:top w:val="none" w:sz="0" w:space="0" w:color="auto"/>
            <w:left w:val="none" w:sz="0" w:space="0" w:color="auto"/>
            <w:bottom w:val="none" w:sz="0" w:space="0" w:color="auto"/>
            <w:right w:val="none" w:sz="0" w:space="0" w:color="auto"/>
          </w:divBdr>
        </w:div>
        <w:div w:id="174002318">
          <w:marLeft w:val="0"/>
          <w:marRight w:val="0"/>
          <w:marTop w:val="0"/>
          <w:marBottom w:val="0"/>
          <w:divBdr>
            <w:top w:val="none" w:sz="0" w:space="0" w:color="auto"/>
            <w:left w:val="none" w:sz="0" w:space="0" w:color="auto"/>
            <w:bottom w:val="none" w:sz="0" w:space="0" w:color="auto"/>
            <w:right w:val="none" w:sz="0" w:space="0" w:color="auto"/>
          </w:divBdr>
        </w:div>
      </w:divsChild>
    </w:div>
    <w:div w:id="174002315">
      <w:marLeft w:val="0"/>
      <w:marRight w:val="0"/>
      <w:marTop w:val="0"/>
      <w:marBottom w:val="0"/>
      <w:divBdr>
        <w:top w:val="none" w:sz="0" w:space="0" w:color="auto"/>
        <w:left w:val="none" w:sz="0" w:space="0" w:color="auto"/>
        <w:bottom w:val="none" w:sz="0" w:space="0" w:color="auto"/>
        <w:right w:val="none" w:sz="0" w:space="0" w:color="auto"/>
      </w:divBdr>
    </w:div>
    <w:div w:id="174002317">
      <w:marLeft w:val="0"/>
      <w:marRight w:val="0"/>
      <w:marTop w:val="0"/>
      <w:marBottom w:val="0"/>
      <w:divBdr>
        <w:top w:val="none" w:sz="0" w:space="0" w:color="auto"/>
        <w:left w:val="none" w:sz="0" w:space="0" w:color="auto"/>
        <w:bottom w:val="none" w:sz="0" w:space="0" w:color="auto"/>
        <w:right w:val="none" w:sz="0" w:space="0" w:color="auto"/>
      </w:divBdr>
    </w:div>
    <w:div w:id="174002319">
      <w:marLeft w:val="0"/>
      <w:marRight w:val="0"/>
      <w:marTop w:val="0"/>
      <w:marBottom w:val="0"/>
      <w:divBdr>
        <w:top w:val="none" w:sz="0" w:space="0" w:color="auto"/>
        <w:left w:val="none" w:sz="0" w:space="0" w:color="auto"/>
        <w:bottom w:val="none" w:sz="0" w:space="0" w:color="auto"/>
        <w:right w:val="none" w:sz="0" w:space="0" w:color="auto"/>
      </w:divBdr>
      <w:divsChild>
        <w:div w:id="174002314">
          <w:marLeft w:val="0"/>
          <w:marRight w:val="0"/>
          <w:marTop w:val="0"/>
          <w:marBottom w:val="0"/>
          <w:divBdr>
            <w:top w:val="none" w:sz="0" w:space="0" w:color="auto"/>
            <w:left w:val="none" w:sz="0" w:space="0" w:color="auto"/>
            <w:bottom w:val="none" w:sz="0" w:space="0" w:color="auto"/>
            <w:right w:val="none" w:sz="0" w:space="0" w:color="auto"/>
          </w:divBdr>
        </w:div>
        <w:div w:id="174002321">
          <w:marLeft w:val="0"/>
          <w:marRight w:val="0"/>
          <w:marTop w:val="0"/>
          <w:marBottom w:val="0"/>
          <w:divBdr>
            <w:top w:val="none" w:sz="0" w:space="0" w:color="auto"/>
            <w:left w:val="none" w:sz="0" w:space="0" w:color="auto"/>
            <w:bottom w:val="none" w:sz="0" w:space="0" w:color="auto"/>
            <w:right w:val="none" w:sz="0" w:space="0" w:color="auto"/>
          </w:divBdr>
        </w:div>
      </w:divsChild>
    </w:div>
    <w:div w:id="1740023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pvafrica.org/index.php/med-spina" TargetMode="External"/><Relationship Id="rId12" Type="http://schemas.openxmlformats.org/officeDocument/2006/relationships/hyperlink" Target="http://www.ghananewsagency.org/health/ghana-adopts-electronic-health-records-for-patients-70537" TargetMode="External"/><Relationship Id="rId13" Type="http://schemas.openxmlformats.org/officeDocument/2006/relationships/hyperlink" Target="http://www.theglobalfund.org/en/history/" TargetMode="External"/><Relationship Id="rId14" Type="http://schemas.openxmlformats.org/officeDocument/2006/relationships/hyperlink" Target="http://www.msf.org/en/msf-activities" TargetMode="External"/><Relationship Id="rId15" Type="http://schemas.openxmlformats.org/officeDocument/2006/relationships/hyperlink" Target="http://siapsprogram.org/tools-and-guidance/" TargetMode="External"/><Relationship Id="rId16" Type="http://schemas.openxmlformats.org/officeDocument/2006/relationships/hyperlink" Target="http://www.healthyentrepreneurs.nl/our-way-of-work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apps.who.int/medicinedocs/en/d/Jh2995e/2.2.html" TargetMode="External"/><Relationship Id="rId9" Type="http://schemas.openxmlformats.org/officeDocument/2006/relationships/hyperlink" Target="http://www.theglobalfund.org/en/ccm/" TargetMode="External"/><Relationship Id="rId10" Type="http://schemas.openxmlformats.org/officeDocument/2006/relationships/hyperlink" Target="http://www.who-pvafrica.org/index.php/home/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3768</Words>
  <Characters>20725</Characters>
  <Application>Microsoft Macintosh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Medication Safety in public health programs in developing countries</vt:lpstr>
    </vt:vector>
  </TitlesOfParts>
  <Company/>
  <LinksUpToDate>false</LinksUpToDate>
  <CharactersWithSpaces>24445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Safety in public health programs in developing countries</dc:title>
  <dc:subject/>
  <dc:creator>Christian van Bommel</dc:creator>
  <cp:keywords/>
  <dc:description/>
  <cp:lastModifiedBy>Richard van Slobbe</cp:lastModifiedBy>
  <cp:revision>3</cp:revision>
  <cp:lastPrinted>2016-07-05T08:17:00Z</cp:lastPrinted>
  <dcterms:created xsi:type="dcterms:W3CDTF">2016-07-25T11:26:00Z</dcterms:created>
  <dcterms:modified xsi:type="dcterms:W3CDTF">2017-11-05T15:35:00Z</dcterms:modified>
</cp:coreProperties>
</file>